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jc w:val="right"/>
        <w:rPr>
          <w:rFonts w:eastAsia="宋体" w:cs="Times New Roman"/>
          <w:b/>
          <w:bCs/>
          <w:sz w:val="28"/>
          <w:szCs w:val="28"/>
          <w:lang w:bidi="ar"/>
        </w:rPr>
      </w:pPr>
      <w:r>
        <w:rPr>
          <w:rFonts w:hint="eastAsia" w:eastAsia="宋体" w:cs="Times New Roman"/>
          <w:b/>
          <w:bCs/>
          <w:sz w:val="28"/>
          <w:szCs w:val="28"/>
          <w:lang w:bidi="ar"/>
        </w:rPr>
        <w:t xml:space="preserve">编号：A2024CXWJ</w:t>
      </w:r>
      <w:r>
        <w:rPr>
          <w:rFonts w:eastAsia="宋体" w:cs="Times New Roman"/>
          <w:b/>
          <w:bCs/>
          <w:sz w:val="28"/>
          <w:szCs w:val="28"/>
          <w:lang w:bidi="ar"/>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jc w:val="center"/>
        <w:rPr>
          <w:rFonts w:eastAsia="黑体" w:cs="Times New Roman"/>
          <w:b/>
          <w:bCs/>
          <w:sz w:val="84"/>
          <w:szCs w:val="84"/>
          <w:lang w:bidi="ar"/>
        </w:rPr>
      </w:pPr>
      <w:r>
        <w:rPr>
          <w:rFonts w:hint="eastAsia" w:eastAsia="黑体" w:cs="Times New Roman"/>
          <w:b/>
          <w:bCs/>
          <w:sz w:val="84"/>
          <w:szCs w:val="84"/>
          <w:lang w:bidi="ar"/>
        </w:rPr>
        <w:t xml:space="preserve">程序文件</w:t>
      </w:r>
      <w:r>
        <w:rPr>
          <w:rFonts w:eastAsia="黑体" w:cs="Times New Roman"/>
          <w:b/>
          <w:bCs/>
          <w:sz w:val="84"/>
          <w:szCs w:val="84"/>
          <w:lang w:bidi="ar"/>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0" cy="19050"/>
                <wp:effectExtent l="0" t="0" r="0" b="0"/>
                <wp:docPr id="3" name="_x0000_i1025"/>
                <wp:cNvGraphicFramePr/>
                <a:graphic xmlns:a="http://schemas.openxmlformats.org/drawingml/2006/main">
                  <a:graphicData uri="http://schemas.microsoft.com/office/word/2010/wordprocessingShape">
                    <wps:wsp>
                      <wps:cNvPr id="0" name=""/>
                      <wps:cNvSpPr/>
                      <wps:spPr bwMode="auto">
                        <a:xfrm>
                          <a:off x="0" y="0"/>
                          <a:ext cx="0" cy="19050"/>
                        </a:xfrm>
                        <a:prstGeom prst="rect">
                          <a:avLst/>
                        </a:prstGeom>
                        <a:blipFill>
                          <a:blip r:embed="rId21"/>
                          <a:stretch/>
                        </a:blipFill>
                        <a:ln>
                          <a:noFill/>
                        </a:ln>
                      </wps:spPr>
                      <wps:bodyPr rot="0">
                        <a:prstTxWarp prst="textNoShape">
                          <a:avLst/>
                        </a:prstTxWarp>
                        <a:noAutofit/>
                      </wps:bodyPr>
                    </wps:wsp>
                  </a:graphicData>
                </a:graphic>
              </wp:inline>
            </w:drawing>
          </mc:Choice>
          <mc:Fallback>
            <w:pict>
              <v:shape id="shape 2" o:spid="_x0000_s2" o:spt="1" type="#_x0000_t1" style="width:0.00pt;height:1.50pt;mso-wrap-distance-left:0.00pt;mso-wrap-distance-top:0.00pt;mso-wrap-distance-right:0.00pt;mso-wrap-distance-bottom:0.00pt;visibility:visible;" stroked="f">
                <v:fill r:id="rId21" o:title="" type="frame"/>
              </v:shape>
            </w:pict>
          </mc:Fallback>
        </mc:AlternateConten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hanging="991" w:left="82"/>
        <w:jc w:val="center"/>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t xml:space="preserve">版 本 号：8</w:t>
      </w:r>
      <w:r>
        <w:rPr>
          <w:b/>
          <w:color w:val="000000" w:themeColor="text1"/>
          <w:sz w:val="30"/>
          <w:szCs w:val="30"/>
          <w14:textFill>
            <w14:solidFill>
              <w14:schemeClr w14:val="tx1"/>
            </w14:solidFill>
          </w14:textFill>
        </w:rPr>
        <w:t xml:space="preserve">/0</w:t>
      </w:r>
      <w:r>
        <w:rPr>
          <w:b/>
          <w:color w:val="000000" w:themeColor="text1"/>
          <w:sz w:val="30"/>
          <w:szCs w:val="30"/>
          <w14:textFill>
            <w14:solidFill>
              <w14:schemeClr w14:val="tx1"/>
            </w14:solidFill>
          </w14:textFill>
        </w:rPr>
      </w:r>
    </w:p>
    <w:p>
      <w:pPr>
        <w:pBdr/>
        <w:spacing/>
        <w:ind w:hanging="1419" w:left="121"/>
        <w:jc w:val="center"/>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t xml:space="preserve">受控状态：</w:t>
      </w:r>
      <w:r>
        <w:rPr>
          <w:b/>
          <w:color w:val="000000" w:themeColor="text1"/>
          <w:sz w:val="30"/>
          <w:szCs w:val="30"/>
          <w14:textFill>
            <w14:solidFill>
              <w14:schemeClr w14:val="tx1"/>
            </w14:solidFill>
          </w14:textFill>
        </w:rPr>
      </w:r>
    </w:p>
    <w:p>
      <w:pPr>
        <w:pBdr/>
        <w:spacing/>
        <w:ind w:hanging="1419" w:left="121"/>
        <w:jc w:val="center"/>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t xml:space="preserve">发放编号：</w:t>
      </w:r>
      <w:r>
        <w:rPr>
          <w:b/>
          <w:color w:val="000000" w:themeColor="text1"/>
          <w:sz w:val="30"/>
          <w:szCs w:val="30"/>
          <w14:textFill>
            <w14:solidFill>
              <w14:schemeClr w14:val="tx1"/>
            </w14:solidFill>
          </w14:textFill>
        </w:rPr>
      </w:r>
    </w:p>
    <w:p>
      <w:pPr>
        <w:pBdr/>
        <w:spacing/>
        <w:ind w:hanging="1419" w:left="121"/>
        <w:jc w:val="center"/>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t xml:space="preserve">持 有 人：</w:t>
      </w:r>
      <w:r>
        <w:rPr>
          <w:b/>
          <w:color w:val="000000" w:themeColor="text1"/>
          <w:sz w:val="30"/>
          <w:szCs w:val="30"/>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jc w:val="center"/>
        <w:rPr>
          <w:rFonts w:eastAsia="宋体" w:cs="Times New Roman"/>
          <w:sz w:val="24"/>
          <w:lang w:bidi="ar"/>
        </w:rPr>
      </w:pPr>
      <w:r>
        <w:rPr>
          <w:rFonts w:hint="eastAsia" w:eastAsia="宋体" w:cs="Times New Roman"/>
          <w:sz w:val="24"/>
          <w:lang w:bidi="ar"/>
        </w:rPr>
        <w:t xml:space="preserve">2024年</w:t>
      </w:r>
      <w:r>
        <w:rPr>
          <w:rFonts w:eastAsia="宋体" w:cs="Times New Roman"/>
          <w:sz w:val="24"/>
          <w:lang w:bidi="ar"/>
        </w:rPr>
        <w:t xml:space="preserve">5</w:t>
      </w:r>
      <w:r>
        <w:rPr>
          <w:rFonts w:hint="eastAsia" w:eastAsia="宋体" w:cs="Times New Roman"/>
          <w:sz w:val="24"/>
          <w:lang w:bidi="ar"/>
        </w:rPr>
        <w:t xml:space="preserve">月</w:t>
      </w:r>
      <w:r>
        <w:rPr>
          <w:rFonts w:eastAsia="宋体" w:cs="Times New Roman"/>
          <w:sz w:val="24"/>
          <w:lang w:bidi="ar"/>
        </w:rPr>
        <w:t xml:space="preserve">15</w:t>
      </w:r>
      <w:r>
        <w:rPr>
          <w:rFonts w:hint="eastAsia" w:eastAsia="宋体" w:cs="Times New Roman"/>
          <w:sz w:val="24"/>
          <w:lang w:bidi="ar"/>
        </w:rPr>
        <w:t xml:space="preserve">日发布                     2024年</w:t>
      </w:r>
      <w:r>
        <w:rPr>
          <w:rFonts w:eastAsia="宋体" w:cs="Times New Roman"/>
          <w:sz w:val="24"/>
          <w:lang w:bidi="ar"/>
        </w:rPr>
        <w:t xml:space="preserve">5</w:t>
      </w:r>
      <w:r>
        <w:rPr>
          <w:rFonts w:hint="eastAsia" w:eastAsia="宋体" w:cs="Times New Roman"/>
          <w:sz w:val="24"/>
          <w:lang w:bidi="ar"/>
        </w:rPr>
        <w:t xml:space="preserve">月</w:t>
      </w:r>
      <w:r>
        <w:rPr>
          <w:rFonts w:eastAsia="宋体" w:cs="Times New Roman"/>
          <w:sz w:val="24"/>
          <w:lang w:bidi="ar"/>
        </w:rPr>
        <w:t xml:space="preserve">15</w:t>
      </w:r>
      <w:r>
        <w:rPr>
          <w:rFonts w:hint="eastAsia" w:eastAsia="宋体" w:cs="Times New Roman"/>
          <w:sz w:val="24"/>
          <w:lang w:bidi="ar"/>
        </w:rPr>
        <w:t xml:space="preserve">日实施</w:t>
      </w:r>
      <w:r>
        <w:rPr>
          <w:rFonts w:eastAsia="宋体" w:cs="Times New Roman"/>
          <w:sz w:val="24"/>
          <w:lang w:bidi="ar"/>
        </w:rPr>
      </w:r>
    </w:p>
    <w:p>
      <w:pPr>
        <w:pBdr/>
        <w:spacing w:line="240" w:lineRule="auto"/>
        <w:ind/>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0" cy="19050"/>
                <wp:effectExtent l="0" t="0" r="0" b="0"/>
                <wp:docPr id="4" name="_x0000_i1026"/>
                <wp:cNvGraphicFramePr/>
                <a:graphic xmlns:a="http://schemas.openxmlformats.org/drawingml/2006/main">
                  <a:graphicData uri="http://schemas.microsoft.com/office/word/2010/wordprocessingShape">
                    <wps:wsp>
                      <wps:cNvPr id="0" name=""/>
                      <wps:cNvSpPr/>
                      <wps:spPr bwMode="auto">
                        <a:xfrm>
                          <a:off x="0" y="0"/>
                          <a:ext cx="0" cy="19050"/>
                        </a:xfrm>
                        <a:prstGeom prst="rect">
                          <a:avLst/>
                        </a:prstGeom>
                        <a:blipFill>
                          <a:blip r:embed="rId21"/>
                          <a:stretch/>
                        </a:blipFill>
                        <a:ln>
                          <a:noFill/>
                        </a:ln>
                      </wps:spPr>
                      <wps:bodyPr rot="0">
                        <a:prstTxWarp prst="textNoShape">
                          <a:avLst/>
                        </a:prstTxWarp>
                        <a:noAutofit/>
                      </wps:bodyPr>
                    </wps:wsp>
                  </a:graphicData>
                </a:graphic>
              </wp:inline>
            </w:drawing>
          </mc:Choice>
          <mc:Fallback>
            <w:pict>
              <v:shape id="shape 3" o:spid="_x0000_s3" o:spt="1" type="#_x0000_t1" style="width:0.00pt;height:1.50pt;mso-wrap-distance-left:0.00pt;mso-wrap-distance-top:0.00pt;mso-wrap-distance-right:0.00pt;mso-wrap-distance-bottom:0.00pt;visibility:visible;" stroked="f">
                <v:fill r:id="rId21" o:title="" type="frame"/>
              </v:shape>
            </w:pict>
          </mc:Fallback>
        </mc:AlternateContent>
      </w:r>
      <w:r>
        <w:rPr>
          <w:color w:val="000000" w:themeColor="text1"/>
          <w14:textFill>
            <w14:solidFill>
              <w14:schemeClr w14:val="tx1"/>
            </w14:solidFill>
          </w14:textFill>
        </w:rPr>
      </w:r>
    </w:p>
    <w:p>
      <w:pPr>
        <w:pBdr/>
        <w:spacing/>
        <w:ind/>
        <w:jc w:val="center"/>
        <w:rPr>
          <w:rFonts w:eastAsia="宋体" w:cs="Times New Roman"/>
          <w:b/>
          <w:bCs/>
          <w:sz w:val="28"/>
          <w:szCs w:val="28"/>
          <w:lang w:bidi="ar"/>
        </w:rPr>
        <w:sectPr>
          <w:headerReference w:type="default" r:id="rId9"/>
          <w:headerReference w:type="even" r:id="rId10"/>
          <w:headerReference w:type="first" r:id="rId11"/>
          <w:footerReference w:type="default" r:id="rId13"/>
          <w:footerReference w:type="even" r:id="rId14"/>
          <w:footerReference w:type="first" r:id="rId15"/>
          <w:footnotePr/>
          <w:endnotePr/>
          <w:type w:val="nextPage"/>
          <w:pgSz w:h="16840" w:orient="portrait" w:w="11905"/>
          <w:pgMar w:top="1440" w:right="1800" w:bottom="1440" w:left="1800" w:header="720" w:footer="720" w:gutter="0"/>
          <w:cols w:num="1" w:sep="0" w:space="720" w:equalWidth="1"/>
        </w:sectPr>
      </w:pPr>
      <w:r>
        <w:rPr>
          <w:rFonts w:hint="eastAsia" w:eastAsia="宋体" w:cs="Times New Roman"/>
          <w:b/>
          <w:bCs/>
          <w:sz w:val="28"/>
          <w:szCs w:val="28"/>
          <w:lang w:bidi="ar"/>
        </w:rPr>
        <w:t xml:space="preserve">中国石油化工股份有限公司西北油田分公司质量检测站</w:t>
      </w:r>
      <w:r>
        <w:rPr>
          <w:rFonts w:eastAsia="宋体" w:cs="Times New Roman"/>
          <w:b/>
          <w:bCs/>
          <w:sz w:val="28"/>
          <w:szCs w:val="28"/>
          <w:lang w:bidi="ar"/>
        </w:rPr>
      </w:r>
    </w:p>
    <w:p>
      <w:pPr>
        <w:pBdr/>
        <w:spacing/>
        <w:ind/>
        <w:rPr>
          <w:rFonts w:eastAsia="宋体" w:cs="Times New Roman"/>
          <w:b/>
          <w:bCs/>
          <w:sz w:val="28"/>
          <w:szCs w:val="28"/>
          <w:lang w:bidi="ar"/>
        </w:rPr>
      </w:pPr>
      <w:r>
        <w:rPr>
          <w:rFonts w:hint="eastAsia" w:eastAsia="宋体" w:cs="Times New Roman"/>
          <w:b/>
          <w:bCs/>
          <w:sz w:val="28"/>
          <w:szCs w:val="28"/>
          <w:lang w:bidi="ar"/>
        </w:rPr>
        <w:t xml:space="preserve">批准人：董瑞强</w:t>
      </w:r>
      <w:r>
        <w:rPr>
          <w:rFonts w:eastAsia="宋体" w:cs="Times New Roman"/>
          <w:b/>
          <w:bCs/>
          <w:sz w:val="28"/>
          <w:szCs w:val="28"/>
          <w:lang w:bidi="ar"/>
        </w:rPr>
      </w:r>
    </w:p>
    <w:p>
      <w:pPr>
        <w:pBdr/>
        <w:spacing/>
        <w:ind/>
        <w:rPr>
          <w:rFonts w:eastAsia="宋体" w:cs="Times New Roman"/>
          <w:b/>
          <w:bCs/>
          <w:sz w:val="28"/>
          <w:szCs w:val="28"/>
          <w:lang w:bidi="ar"/>
        </w:rPr>
      </w:pPr>
      <w:r>
        <w:rPr>
          <w:rFonts w:hint="eastAsia" w:eastAsia="宋体" w:cs="Times New Roman"/>
          <w:b/>
          <w:bCs/>
          <w:sz w:val="28"/>
          <w:szCs w:val="28"/>
          <w:lang w:bidi="ar"/>
        </w:rPr>
        <w:t xml:space="preserve">审核人：蒋齐光、王博远、马杰、曾雄飞</w:t>
      </w:r>
      <w:r>
        <w:rPr>
          <w:rFonts w:eastAsia="宋体" w:cs="Times New Roman"/>
          <w:b/>
          <w:bCs/>
          <w:sz w:val="28"/>
          <w:szCs w:val="28"/>
          <w:lang w:bidi="ar"/>
        </w:rPr>
      </w:r>
    </w:p>
    <w:p>
      <w:pPr>
        <w:pBdr/>
        <w:spacing/>
        <w:ind/>
        <w:rPr>
          <w:rFonts w:eastAsia="宋体" w:cs="Times New Roman"/>
          <w:b/>
          <w:bCs/>
          <w:sz w:val="28"/>
          <w:szCs w:val="28"/>
          <w:lang w:bidi="ar"/>
        </w:rPr>
      </w:pPr>
      <w:r>
        <w:rPr>
          <w:rFonts w:hint="eastAsia" w:eastAsia="宋体" w:cs="Times New Roman"/>
          <w:b/>
          <w:bCs/>
          <w:sz w:val="28"/>
          <w:szCs w:val="28"/>
          <w:lang w:bidi="ar"/>
        </w:rPr>
        <w:t xml:space="preserve">编写人：杨胜博、方亚平、底秀玲、黄诗文、朱宇涵、付天宇、粱雅菲</w:t>
      </w:r>
      <w:r>
        <w:rPr>
          <w:rFonts w:eastAsia="宋体" w:cs="Times New Roman"/>
          <w:b/>
          <w:bCs/>
          <w:sz w:val="28"/>
          <w:szCs w:val="28"/>
          <w:lang w:bidi="ar"/>
        </w:rPr>
      </w:r>
    </w:p>
    <w:p>
      <w:pPr>
        <w:pBdr/>
        <w:spacing/>
        <w:ind/>
        <w:rPr>
          <w:color w:val="000000" w:themeColor="text1"/>
          <w14:textFill>
            <w14:solidFill>
              <w14:schemeClr w14:val="tx1"/>
            </w14:solidFill>
          </w14:textFill>
        </w:rPr>
        <w:sectPr>
          <w:headerReference w:type="default" r:id="rId12"/>
          <w:footerReference w:type="default" r:id="rId16"/>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jc w:val="center"/>
        <w:rPr>
          <w:b/>
          <w:color w:val="000000" w:themeColor="text1"/>
          <w:sz w:val="28"/>
          <w14:textFill>
            <w14:solidFill>
              <w14:schemeClr w14:val="tx1"/>
            </w14:solidFill>
          </w14:textFill>
        </w:rPr>
      </w:pPr>
      <w:r>
        <w:rPr>
          <w:b/>
          <w:color w:val="000000" w:themeColor="text1"/>
          <w:sz w:val="28"/>
          <w14:textFill>
            <w14:solidFill>
              <w14:schemeClr w14:val="tx1"/>
            </w14:solidFill>
          </w14:textFill>
        </w:rPr>
        <w:t xml:space="preserve">目</w:t>
      </w:r>
      <w:r>
        <w:rPr>
          <w:rFonts w:hint="eastAsia"/>
          <w:b/>
          <w:color w:val="000000" w:themeColor="text1"/>
          <w:sz w:val="28"/>
          <w14:textFill>
            <w14:solidFill>
              <w14:schemeClr w14:val="tx1"/>
            </w14:solidFill>
          </w14:textFill>
        </w:rPr>
        <w:t xml:space="preserve"> </w:t>
      </w:r>
      <w:r>
        <w:rPr>
          <w:b/>
          <w:color w:val="000000" w:themeColor="text1"/>
          <w:sz w:val="28"/>
          <w14:textFill>
            <w14:solidFill>
              <w14:schemeClr w14:val="tx1"/>
            </w14:solidFill>
          </w14:textFill>
        </w:rPr>
        <w:t xml:space="preserve"> 录</w:t>
      </w:r>
      <w:r>
        <w:rPr>
          <w:b/>
          <w:color w:val="000000" w:themeColor="text1"/>
          <w:sz w:val="28"/>
          <w14:textFill>
            <w14:solidFill>
              <w14:schemeClr w14:val="tx1"/>
            </w14:solidFill>
          </w14:textFill>
        </w:rPr>
      </w:r>
    </w:p>
    <w:p>
      <w:pPr>
        <w:pStyle w:val="1992"/>
        <w:pBdr/>
        <w:tabs>
          <w:tab w:val="right" w:leader="dot" w:pos="8306"/>
        </w:tabs>
        <w:spacing w:after="0" w:before="0" w:line="240" w:lineRule="auto"/>
        <w:ind/>
        <w:rPr>
          <w:rFonts w:cs="Times New Roman"/>
          <w:sz w:val="24"/>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TOC \o "1-1" \h \z \u</w:instrText>
      </w:r>
      <w:r>
        <w:rPr>
          <w:color w:val="000000" w:themeColor="text1"/>
          <w14:textFill>
            <w14:solidFill>
              <w14:schemeClr w14:val="tx1"/>
            </w14:solidFill>
          </w14:textFill>
        </w:rPr>
        <w:instrText xml:space="preserve"> </w:instrText>
      </w:r>
      <w:r>
        <w:rPr>
          <w:color w:val="000000" w:themeColor="text1"/>
          <w14:textFill>
            <w14:solidFill>
              <w14:schemeClr w14:val="tx1"/>
            </w14:solidFill>
          </w14:textFill>
        </w:rPr>
        <w:fldChar w:fldCharType="separate"/>
      </w:r>
      <w:r>
        <w:fldChar w:fldCharType="begin"/>
      </w:r>
      <w:r>
        <w:instrText xml:space="preserve"> HYPERLINK \l "_Toc8142" </w:instrText>
      </w:r>
      <w:r>
        <w:fldChar w:fldCharType="separate"/>
      </w:r>
      <w:r>
        <w:rPr>
          <w:rFonts w:cs="Times New Roman"/>
          <w:sz w:val="24"/>
        </w:rPr>
        <w:t xml:space="preserve">修改履历</w:t>
      </w:r>
      <w:r>
        <w:rPr>
          <w:rFonts w:cs="Times New Roman"/>
          <w:sz w:val="24"/>
        </w:rPr>
        <w:tab/>
      </w:r>
      <w:r>
        <w:rPr>
          <w:rFonts w:cs="Times New Roman"/>
          <w:sz w:val="24"/>
        </w:rPr>
        <w:fldChar w:fldCharType="begin"/>
      </w:r>
      <w:r>
        <w:rPr>
          <w:rFonts w:cs="Times New Roman"/>
          <w:sz w:val="24"/>
        </w:rPr>
        <w:instrText xml:space="preserve"> PAGEREF _Toc8142 \h </w:instrText>
      </w:r>
      <w:r>
        <w:rPr>
          <w:rFonts w:cs="Times New Roman"/>
          <w:sz w:val="24"/>
        </w:rPr>
        <w:fldChar w:fldCharType="separate"/>
      </w:r>
      <w:r>
        <w:rPr>
          <w:rFonts w:cs="Times New Roman"/>
          <w:sz w:val="24"/>
        </w:rPr>
        <w:t xml:space="preserve">1</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"_Toc25905" </w:instrText>
      </w:r>
      <w:r>
        <w:fldChar w:fldCharType="separate"/>
      </w:r>
      <w:r>
        <w:rPr>
          <w:rFonts w:cs="Times New Roman"/>
          <w:sz w:val="24"/>
        </w:rPr>
        <w:t xml:space="preserve">ZJZ/CX-1 维护公正性和诚信性程序</w:t>
      </w:r>
      <w:r>
        <w:rPr>
          <w:rFonts w:cs="Times New Roman"/>
          <w:sz w:val="24"/>
        </w:rPr>
        <w:tab/>
      </w:r>
      <w:r>
        <w:rPr>
          <w:rFonts w:cs="Times New Roman"/>
          <w:sz w:val="24"/>
        </w:rPr>
        <w:fldChar w:fldCharType="begin"/>
      </w:r>
      <w:r>
        <w:rPr>
          <w:rFonts w:cs="Times New Roman"/>
          <w:sz w:val="24"/>
        </w:rPr>
        <w:instrText xml:space="preserve"> PAGEREF _Toc25905 \h </w:instrText>
      </w:r>
      <w:r>
        <w:rPr>
          <w:rFonts w:cs="Times New Roman"/>
          <w:sz w:val="24"/>
        </w:rPr>
        <w:fldChar w:fldCharType="separate"/>
      </w:r>
      <w:r>
        <w:rPr>
          <w:rFonts w:cs="Times New Roman"/>
          <w:sz w:val="24"/>
        </w:rPr>
        <w:t xml:space="preserve">2</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"_Toc28481" </w:instrText>
      </w:r>
      <w:r>
        <w:fldChar w:fldCharType="separate"/>
      </w:r>
      <w:r>
        <w:rPr>
          <w:rFonts w:cs="Times New Roman"/>
          <w:sz w:val="24"/>
        </w:rPr>
        <w:t xml:space="preserve">ZJZ/CX-2 保护客户秘密和所有权程序</w:t>
      </w:r>
      <w:r>
        <w:rPr>
          <w:rFonts w:cs="Times New Roman"/>
          <w:sz w:val="24"/>
        </w:rPr>
        <w:tab/>
      </w:r>
      <w:r>
        <w:rPr>
          <w:rFonts w:cs="Times New Roman"/>
          <w:sz w:val="24"/>
        </w:rPr>
        <w:fldChar w:fldCharType="begin"/>
      </w:r>
      <w:r>
        <w:rPr>
          <w:rFonts w:cs="Times New Roman"/>
          <w:sz w:val="24"/>
        </w:rPr>
        <w:instrText xml:space="preserve"> PAGEREF _Toc28481 \h </w:instrText>
      </w:r>
      <w:r>
        <w:rPr>
          <w:rFonts w:cs="Times New Roman"/>
          <w:sz w:val="24"/>
        </w:rPr>
        <w:fldChar w:fldCharType="separate"/>
      </w:r>
      <w:r>
        <w:rPr>
          <w:rFonts w:cs="Times New Roman"/>
          <w:sz w:val="24"/>
        </w:rPr>
        <w:t xml:space="preserve">5</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"_Toc30229" </w:instrText>
      </w:r>
      <w:r>
        <w:fldChar w:fldCharType="separate"/>
      </w:r>
      <w:r>
        <w:rPr>
          <w:rFonts w:cs="Times New Roman"/>
          <w:sz w:val="24"/>
        </w:rPr>
        <w:t xml:space="preserve">ZJZ/CX-3 人员管理与培训程序</w:t>
      </w:r>
      <w:r>
        <w:rPr>
          <w:rFonts w:cs="Times New Roman"/>
          <w:sz w:val="24"/>
        </w:rPr>
        <w:tab/>
      </w:r>
      <w:r>
        <w:rPr>
          <w:rFonts w:cs="Times New Roman"/>
          <w:sz w:val="24"/>
        </w:rPr>
        <w:fldChar w:fldCharType="begin"/>
      </w:r>
      <w:r>
        <w:rPr>
          <w:rFonts w:cs="Times New Roman"/>
          <w:sz w:val="24"/>
        </w:rPr>
        <w:instrText xml:space="preserve"> PAGEREF _Toc30229 \h </w:instrText>
      </w:r>
      <w:r>
        <w:rPr>
          <w:rFonts w:cs="Times New Roman"/>
          <w:sz w:val="24"/>
        </w:rPr>
        <w:fldChar w:fldCharType="separate"/>
      </w:r>
      <w:r>
        <w:rPr>
          <w:rFonts w:cs="Times New Roman"/>
          <w:sz w:val="24"/>
        </w:rPr>
        <w:t xml:space="preserve">9</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"_Toc6012" </w:instrText>
      </w:r>
      <w:r>
        <w:fldChar w:fldCharType="separate"/>
      </w:r>
      <w:r>
        <w:rPr>
          <w:rFonts w:cs="Times New Roman"/>
          <w:sz w:val="24"/>
        </w:rPr>
        <w:t xml:space="preserve">ZJZ/CX-4 设施和环境条件控制程序</w:t>
      </w:r>
      <w:r>
        <w:rPr>
          <w:rFonts w:cs="Times New Roman"/>
          <w:sz w:val="24"/>
        </w:rPr>
        <w:tab/>
      </w:r>
      <w:r>
        <w:rPr>
          <w:rFonts w:cs="Times New Roman"/>
          <w:sz w:val="24"/>
        </w:rPr>
        <w:fldChar w:fldCharType="begin"/>
      </w:r>
      <w:r>
        <w:rPr>
          <w:rFonts w:cs="Times New Roman"/>
          <w:sz w:val="24"/>
        </w:rPr>
        <w:instrText xml:space="preserve"> PAGEREF _Toc6012 \h </w:instrText>
      </w:r>
      <w:r>
        <w:rPr>
          <w:rFonts w:cs="Times New Roman"/>
          <w:sz w:val="24"/>
        </w:rPr>
        <w:fldChar w:fldCharType="separate"/>
      </w:r>
      <w:r>
        <w:rPr>
          <w:rFonts w:cs="Times New Roman"/>
          <w:sz w:val="24"/>
        </w:rPr>
        <w:t xml:space="preserve">15</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"_Toc25297" </w:instrText>
      </w:r>
      <w:r>
        <w:fldChar w:fldCharType="separate"/>
      </w:r>
      <w:r>
        <w:rPr>
          <w:rFonts w:cs="Times New Roman"/>
          <w:sz w:val="24"/>
        </w:rPr>
        <w:t xml:space="preserve">ZJZ/CX-5 设备管理程序</w:t>
      </w:r>
      <w:r>
        <w:rPr>
          <w:rFonts w:cs="Times New Roman"/>
          <w:sz w:val="24"/>
        </w:rPr>
        <w:tab/>
      </w:r>
      <w:r>
        <w:rPr>
          <w:rFonts w:cs="Times New Roman"/>
          <w:sz w:val="24"/>
        </w:rPr>
        <w:fldChar w:fldCharType="begin"/>
      </w:r>
      <w:r>
        <w:rPr>
          <w:rFonts w:cs="Times New Roman"/>
          <w:sz w:val="24"/>
        </w:rPr>
        <w:instrText xml:space="preserve"> PAGEREF _Toc25297 \h </w:instrText>
      </w:r>
      <w:r>
        <w:rPr>
          <w:rFonts w:cs="Times New Roman"/>
          <w:sz w:val="24"/>
        </w:rPr>
        <w:fldChar w:fldCharType="separate"/>
      </w:r>
      <w:r>
        <w:rPr>
          <w:rFonts w:cs="Times New Roman"/>
          <w:sz w:val="24"/>
        </w:rPr>
        <w:t xml:space="preserve">18</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"_Toc16039" </w:instrText>
      </w:r>
      <w:r>
        <w:fldChar w:fldCharType="separate"/>
      </w:r>
      <w:r>
        <w:rPr>
          <w:rFonts w:cs="Times New Roman"/>
          <w:sz w:val="24"/>
        </w:rPr>
        <w:t xml:space="preserve">ZJZ/CX-6 量值溯源程序</w:t>
      </w:r>
      <w:r>
        <w:rPr>
          <w:rFonts w:cs="Times New Roman"/>
          <w:sz w:val="24"/>
        </w:rPr>
        <w:tab/>
      </w:r>
      <w:r>
        <w:rPr>
          <w:rFonts w:cs="Times New Roman"/>
          <w:sz w:val="24"/>
        </w:rPr>
        <w:fldChar w:fldCharType="begin"/>
      </w:r>
      <w:r>
        <w:rPr>
          <w:rFonts w:cs="Times New Roman"/>
          <w:sz w:val="24"/>
        </w:rPr>
        <w:instrText xml:space="preserve"> PAGEREF _Toc16039 \h </w:instrText>
      </w:r>
      <w:r>
        <w:rPr>
          <w:rFonts w:cs="Times New Roman"/>
          <w:sz w:val="24"/>
        </w:rPr>
        <w:fldChar w:fldCharType="separate"/>
      </w:r>
      <w:r>
        <w:rPr>
          <w:rFonts w:cs="Times New Roman"/>
          <w:sz w:val="24"/>
        </w:rPr>
        <w:t xml:space="preserve">28</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"_Toc19538" </w:instrText>
      </w:r>
      <w:r>
        <w:fldChar w:fldCharType="separate"/>
      </w:r>
      <w:r>
        <w:rPr>
          <w:rFonts w:cs="Times New Roman"/>
          <w:sz w:val="24"/>
        </w:rPr>
        <w:t xml:space="preserve">ZJZ/CX-7 期间核查程序</w:t>
      </w:r>
      <w:r>
        <w:rPr>
          <w:rFonts w:cs="Times New Roman"/>
          <w:sz w:val="24"/>
        </w:rPr>
        <w:tab/>
      </w:r>
      <w:r>
        <w:rPr>
          <w:rFonts w:cs="Times New Roman"/>
          <w:sz w:val="24"/>
        </w:rPr>
        <w:fldChar w:fldCharType="begin"/>
      </w:r>
      <w:r>
        <w:rPr>
          <w:rFonts w:cs="Times New Roman"/>
          <w:sz w:val="24"/>
        </w:rPr>
        <w:instrText xml:space="preserve"> PAGEREF _Toc19538 \h </w:instrText>
      </w:r>
      <w:r>
        <w:rPr>
          <w:rFonts w:cs="Times New Roman"/>
          <w:sz w:val="24"/>
        </w:rPr>
        <w:fldChar w:fldCharType="separate"/>
      </w:r>
      <w:r>
        <w:rPr>
          <w:rFonts w:cs="Times New Roman"/>
          <w:sz w:val="24"/>
        </w:rPr>
        <w:t xml:space="preserve">33</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"_Toc28608" </w:instrText>
      </w:r>
      <w:r>
        <w:fldChar w:fldCharType="separate"/>
      </w:r>
      <w:r>
        <w:rPr>
          <w:rFonts w:cs="Times New Roman"/>
          <w:sz w:val="24"/>
        </w:rPr>
        <w:t xml:space="preserve">ZJZ/CX-8 标准物质管理程序</w:t>
      </w:r>
      <w:r>
        <w:rPr>
          <w:rFonts w:cs="Times New Roman"/>
          <w:sz w:val="24"/>
        </w:rPr>
        <w:tab/>
      </w:r>
      <w:r>
        <w:rPr>
          <w:rFonts w:cs="Times New Roman"/>
          <w:sz w:val="24"/>
        </w:rPr>
        <w:fldChar w:fldCharType="begin"/>
      </w:r>
      <w:r>
        <w:rPr>
          <w:rFonts w:cs="Times New Roman"/>
          <w:sz w:val="24"/>
        </w:rPr>
        <w:instrText xml:space="preserve"> PAGEREF _Toc28608 \h </w:instrText>
      </w:r>
      <w:r>
        <w:rPr>
          <w:rFonts w:cs="Times New Roman"/>
          <w:sz w:val="24"/>
        </w:rPr>
        <w:fldChar w:fldCharType="separate"/>
      </w:r>
      <w:r>
        <w:rPr>
          <w:rFonts w:cs="Times New Roman"/>
          <w:sz w:val="24"/>
        </w:rPr>
        <w:t xml:space="preserve">36</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"_Toc20571" </w:instrText>
      </w:r>
      <w:r>
        <w:fldChar w:fldCharType="separate"/>
      </w:r>
      <w:r>
        <w:rPr>
          <w:rFonts w:cs="Times New Roman"/>
          <w:sz w:val="24"/>
        </w:rPr>
        <w:t xml:space="preserve">ZJZ/CX-9 标准溶液管理程序</w:t>
      </w:r>
      <w:r>
        <w:rPr>
          <w:rFonts w:cs="Times New Roman"/>
          <w:sz w:val="24"/>
        </w:rPr>
        <w:tab/>
      </w:r>
      <w:r>
        <w:rPr>
          <w:rFonts w:cs="Times New Roman"/>
          <w:sz w:val="24"/>
        </w:rPr>
        <w:fldChar w:fldCharType="begin"/>
      </w:r>
      <w:r>
        <w:rPr>
          <w:rFonts w:cs="Times New Roman"/>
          <w:sz w:val="24"/>
        </w:rPr>
        <w:instrText xml:space="preserve"> PAGEREF _Toc20571 \h </w:instrText>
      </w:r>
      <w:r>
        <w:rPr>
          <w:rFonts w:cs="Times New Roman"/>
          <w:sz w:val="24"/>
        </w:rPr>
        <w:fldChar w:fldCharType="separate"/>
      </w:r>
      <w:r>
        <w:rPr>
          <w:rFonts w:cs="Times New Roman"/>
          <w:sz w:val="24"/>
        </w:rPr>
        <w:t xml:space="preserve">39</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"_Toc32073" </w:instrText>
      </w:r>
      <w:r>
        <w:fldChar w:fldCharType="separate"/>
      </w:r>
      <w:r>
        <w:rPr>
          <w:rFonts w:cs="Times New Roman"/>
          <w:sz w:val="24"/>
        </w:rPr>
        <w:t xml:space="preserve">ZJZ/CX-10 文件控制和维护程序</w:t>
      </w:r>
      <w:r>
        <w:rPr>
          <w:rFonts w:cs="Times New Roman"/>
          <w:sz w:val="24"/>
        </w:rPr>
        <w:tab/>
      </w:r>
      <w:r>
        <w:rPr>
          <w:rFonts w:cs="Times New Roman"/>
          <w:sz w:val="24"/>
        </w:rPr>
        <w:fldChar w:fldCharType="begin"/>
      </w:r>
      <w:r>
        <w:rPr>
          <w:rFonts w:cs="Times New Roman"/>
          <w:sz w:val="24"/>
        </w:rPr>
        <w:instrText xml:space="preserve"> PAGEREF _Toc32073 \h </w:instrText>
      </w:r>
      <w:r>
        <w:rPr>
          <w:rFonts w:cs="Times New Roman"/>
          <w:sz w:val="24"/>
        </w:rPr>
        <w:fldChar w:fldCharType="separate"/>
      </w:r>
      <w:r>
        <w:rPr>
          <w:rFonts w:cs="Times New Roman"/>
          <w:sz w:val="24"/>
        </w:rPr>
        <w:t xml:space="preserve">41</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"_Toc15341" </w:instrText>
      </w:r>
      <w:r>
        <w:fldChar w:fldCharType="separate"/>
      </w:r>
      <w:r>
        <w:rPr>
          <w:rFonts w:cs="Times New Roman"/>
          <w:sz w:val="24"/>
        </w:rPr>
        <w:t xml:space="preserve">ZJZ/CX-11 客户要求、标书和合同评审程序</w:t>
      </w:r>
      <w:r>
        <w:rPr>
          <w:rFonts w:cs="Times New Roman"/>
          <w:sz w:val="24"/>
        </w:rPr>
        <w:tab/>
      </w:r>
      <w:r>
        <w:rPr>
          <w:rFonts w:cs="Times New Roman"/>
          <w:sz w:val="24"/>
        </w:rPr>
        <w:fldChar w:fldCharType="begin"/>
      </w:r>
      <w:r>
        <w:rPr>
          <w:rFonts w:cs="Times New Roman"/>
          <w:sz w:val="24"/>
        </w:rPr>
        <w:instrText xml:space="preserve"> PAGEREF _Toc15341 \h </w:instrText>
      </w:r>
      <w:r>
        <w:rPr>
          <w:rFonts w:cs="Times New Roman"/>
          <w:sz w:val="24"/>
        </w:rPr>
        <w:fldChar w:fldCharType="separate"/>
      </w:r>
      <w:r>
        <w:rPr>
          <w:rFonts w:cs="Times New Roman"/>
          <w:sz w:val="24"/>
        </w:rPr>
        <w:t xml:space="preserve">47</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"_Toc23208" </w:instrText>
      </w:r>
      <w:r>
        <w:fldChar w:fldCharType="separate"/>
      </w:r>
      <w:r>
        <w:rPr>
          <w:rFonts w:cs="Times New Roman"/>
          <w:sz w:val="24"/>
        </w:rPr>
        <w:t xml:space="preserve">ZJZ/CX-12 检测检验分包程序</w:t>
      </w:r>
      <w:r>
        <w:rPr>
          <w:rFonts w:cs="Times New Roman"/>
          <w:sz w:val="24"/>
        </w:rPr>
        <w:tab/>
      </w:r>
      <w:r>
        <w:rPr>
          <w:rFonts w:cs="Times New Roman"/>
          <w:sz w:val="24"/>
        </w:rPr>
        <w:fldChar w:fldCharType="begin"/>
      </w:r>
      <w:r>
        <w:rPr>
          <w:rFonts w:cs="Times New Roman"/>
          <w:sz w:val="24"/>
        </w:rPr>
        <w:instrText xml:space="preserve"> PAGEREF _Toc23208 \h </w:instrText>
      </w:r>
      <w:r>
        <w:rPr>
          <w:rFonts w:cs="Times New Roman"/>
          <w:sz w:val="24"/>
        </w:rPr>
        <w:fldChar w:fldCharType="separate"/>
      </w:r>
      <w:r>
        <w:rPr>
          <w:rFonts w:cs="Times New Roman"/>
          <w:sz w:val="24"/>
        </w:rPr>
        <w:t xml:space="preserve">49</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"_Toc11699" </w:instrText>
      </w:r>
      <w:r>
        <w:fldChar w:fldCharType="separate"/>
      </w:r>
      <w:r>
        <w:rPr>
          <w:rFonts w:cs="Times New Roman"/>
          <w:sz w:val="24"/>
        </w:rPr>
        <w:t xml:space="preserve">ZJZ/CX-13 服务和供应品管理程序</w:t>
      </w:r>
      <w:r>
        <w:rPr>
          <w:rFonts w:cs="Times New Roman"/>
          <w:sz w:val="24"/>
        </w:rPr>
        <w:tab/>
      </w:r>
      <w:r>
        <w:rPr>
          <w:rFonts w:cs="Times New Roman"/>
          <w:sz w:val="24"/>
        </w:rPr>
        <w:fldChar w:fldCharType="begin"/>
      </w:r>
      <w:r>
        <w:rPr>
          <w:rFonts w:cs="Times New Roman"/>
          <w:sz w:val="24"/>
        </w:rPr>
        <w:instrText xml:space="preserve"> PAGEREF _Toc11699 \h </w:instrText>
      </w:r>
      <w:r>
        <w:rPr>
          <w:rFonts w:cs="Times New Roman"/>
          <w:sz w:val="24"/>
        </w:rPr>
        <w:fldChar w:fldCharType="separate"/>
      </w:r>
      <w:r>
        <w:rPr>
          <w:rFonts w:cs="Times New Roman"/>
          <w:sz w:val="24"/>
        </w:rPr>
        <w:t xml:space="preserve">51</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"_Toc10569" </w:instrText>
      </w:r>
      <w:r>
        <w:fldChar w:fldCharType="separate"/>
      </w:r>
      <w:r>
        <w:rPr>
          <w:rFonts w:cs="Times New Roman"/>
          <w:sz w:val="24"/>
        </w:rPr>
        <w:t xml:space="preserve">ZJZ/CX-14 服务客户程序</w:t>
      </w:r>
      <w:r>
        <w:rPr>
          <w:rFonts w:cs="Times New Roman"/>
          <w:sz w:val="24"/>
        </w:rPr>
        <w:tab/>
      </w:r>
      <w:r>
        <w:rPr>
          <w:rFonts w:cs="Times New Roman"/>
          <w:sz w:val="24"/>
        </w:rPr>
        <w:fldChar w:fldCharType="begin"/>
      </w:r>
      <w:r>
        <w:rPr>
          <w:rFonts w:cs="Times New Roman"/>
          <w:sz w:val="24"/>
        </w:rPr>
        <w:instrText xml:space="preserve"> PAGEREF _Toc10569 \h </w:instrText>
      </w:r>
      <w:r>
        <w:rPr>
          <w:rFonts w:cs="Times New Roman"/>
          <w:sz w:val="24"/>
        </w:rPr>
        <w:fldChar w:fldCharType="separate"/>
      </w:r>
      <w:r>
        <w:rPr>
          <w:rFonts w:cs="Times New Roman"/>
          <w:sz w:val="24"/>
        </w:rPr>
        <w:t xml:space="preserve">54</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"_Toc4373" </w:instrText>
      </w:r>
      <w:r>
        <w:fldChar w:fldCharType="separate"/>
      </w:r>
      <w:r>
        <w:rPr>
          <w:rFonts w:cs="Times New Roman"/>
          <w:sz w:val="24"/>
        </w:rPr>
        <w:t xml:space="preserve">ZJZ/CX-15 申诉和投诉处理程序</w:t>
      </w:r>
      <w:r>
        <w:rPr>
          <w:rFonts w:cs="Times New Roman"/>
          <w:sz w:val="24"/>
        </w:rPr>
        <w:tab/>
      </w:r>
      <w:r>
        <w:rPr>
          <w:rFonts w:cs="Times New Roman"/>
          <w:sz w:val="24"/>
        </w:rPr>
        <w:fldChar w:fldCharType="begin"/>
      </w:r>
      <w:r>
        <w:rPr>
          <w:rFonts w:cs="Times New Roman"/>
          <w:sz w:val="24"/>
        </w:rPr>
        <w:instrText xml:space="preserve"> PAGEREF _Toc4373 \h </w:instrText>
      </w:r>
      <w:r>
        <w:rPr>
          <w:rFonts w:cs="Times New Roman"/>
          <w:sz w:val="24"/>
        </w:rPr>
        <w:fldChar w:fldCharType="separate"/>
      </w:r>
      <w:r>
        <w:rPr>
          <w:rFonts w:cs="Times New Roman"/>
          <w:sz w:val="24"/>
        </w:rPr>
        <w:t xml:space="preserve">56</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"_Toc24569" </w:instrText>
      </w:r>
      <w:r>
        <w:fldChar w:fldCharType="separate"/>
      </w:r>
      <w:r>
        <w:rPr>
          <w:rFonts w:cs="Times New Roman"/>
          <w:sz w:val="24"/>
        </w:rPr>
        <w:t xml:space="preserve">ZJZ/CX-16 不符合工作控制程序</w:t>
      </w:r>
      <w:r>
        <w:rPr>
          <w:rFonts w:cs="Times New Roman"/>
          <w:sz w:val="24"/>
        </w:rPr>
        <w:tab/>
      </w:r>
      <w:r>
        <w:rPr>
          <w:rFonts w:cs="Times New Roman"/>
          <w:sz w:val="24"/>
        </w:rPr>
        <w:fldChar w:fldCharType="begin"/>
      </w:r>
      <w:r>
        <w:rPr>
          <w:rFonts w:cs="Times New Roman"/>
          <w:sz w:val="24"/>
        </w:rPr>
        <w:instrText xml:space="preserve"> PAGEREF _Toc24569 \h </w:instrText>
      </w:r>
      <w:r>
        <w:rPr>
          <w:rFonts w:cs="Times New Roman"/>
          <w:sz w:val="24"/>
        </w:rPr>
        <w:fldChar w:fldCharType="separate"/>
      </w:r>
      <w:r>
        <w:rPr>
          <w:rFonts w:cs="Times New Roman"/>
          <w:sz w:val="24"/>
        </w:rPr>
        <w:t xml:space="preserve">59</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"_Toc24224" </w:instrText>
      </w:r>
      <w:r>
        <w:fldChar w:fldCharType="separate"/>
      </w:r>
      <w:r>
        <w:rPr>
          <w:rFonts w:cs="Times New Roman"/>
          <w:sz w:val="24"/>
        </w:rPr>
        <w:t xml:space="preserve">ZJZ/CX-17 纠正措施程序</w:t>
      </w:r>
      <w:r>
        <w:rPr>
          <w:rFonts w:cs="Times New Roman"/>
          <w:sz w:val="24"/>
        </w:rPr>
        <w:tab/>
      </w:r>
      <w:r>
        <w:rPr>
          <w:rFonts w:cs="Times New Roman"/>
          <w:sz w:val="24"/>
        </w:rPr>
        <w:fldChar w:fldCharType="begin"/>
      </w:r>
      <w:r>
        <w:rPr>
          <w:rFonts w:cs="Times New Roman"/>
          <w:sz w:val="24"/>
        </w:rPr>
        <w:instrText xml:space="preserve"> PAGEREF _Toc24224 \h </w:instrText>
      </w:r>
      <w:r>
        <w:rPr>
          <w:rFonts w:cs="Times New Roman"/>
          <w:sz w:val="24"/>
        </w:rPr>
        <w:fldChar w:fldCharType="separate"/>
      </w:r>
      <w:r>
        <w:rPr>
          <w:rFonts w:cs="Times New Roman"/>
          <w:sz w:val="24"/>
        </w:rPr>
        <w:t xml:space="preserve">62</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"_Toc26149" </w:instrText>
      </w:r>
      <w:r>
        <w:fldChar w:fldCharType="separate"/>
      </w:r>
      <w:r>
        <w:rPr>
          <w:rFonts w:cs="Times New Roman"/>
          <w:sz w:val="24"/>
        </w:rPr>
        <w:t xml:space="preserve">ZJZ/CX-18 记录管理程序</w:t>
      </w:r>
      <w:r>
        <w:rPr>
          <w:rFonts w:cs="Times New Roman"/>
          <w:sz w:val="24"/>
        </w:rPr>
        <w:tab/>
      </w:r>
      <w:r>
        <w:rPr>
          <w:rFonts w:cs="Times New Roman"/>
          <w:sz w:val="24"/>
        </w:rPr>
        <w:fldChar w:fldCharType="begin"/>
      </w:r>
      <w:r>
        <w:rPr>
          <w:rFonts w:cs="Times New Roman"/>
          <w:sz w:val="24"/>
        </w:rPr>
        <w:instrText xml:space="preserve"> PAGEREF _Toc26149 \h </w:instrText>
      </w:r>
      <w:r>
        <w:rPr>
          <w:rFonts w:cs="Times New Roman"/>
          <w:sz w:val="24"/>
        </w:rPr>
        <w:fldChar w:fldCharType="separate"/>
      </w:r>
      <w:r>
        <w:rPr>
          <w:rFonts w:cs="Times New Roman"/>
          <w:sz w:val="24"/>
        </w:rPr>
        <w:t xml:space="preserve">65</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"_Toc13532" </w:instrText>
      </w:r>
      <w:r>
        <w:fldChar w:fldCharType="separate"/>
      </w:r>
      <w:r>
        <w:rPr>
          <w:rFonts w:cs="Times New Roman"/>
          <w:sz w:val="24"/>
        </w:rPr>
        <w:t xml:space="preserve">ZJZ/CX-19 内部审核程序</w:t>
      </w:r>
      <w:r>
        <w:rPr>
          <w:rFonts w:cs="Times New Roman"/>
          <w:sz w:val="24"/>
        </w:rPr>
        <w:tab/>
      </w:r>
      <w:r>
        <w:rPr>
          <w:rFonts w:cs="Times New Roman"/>
          <w:sz w:val="24"/>
        </w:rPr>
        <w:fldChar w:fldCharType="begin"/>
      </w:r>
      <w:r>
        <w:rPr>
          <w:rFonts w:cs="Times New Roman"/>
          <w:sz w:val="24"/>
        </w:rPr>
        <w:instrText xml:space="preserve"> PAGEREF _Toc13532 \h </w:instrText>
      </w:r>
      <w:r>
        <w:rPr>
          <w:rFonts w:cs="Times New Roman"/>
          <w:sz w:val="24"/>
        </w:rPr>
        <w:fldChar w:fldCharType="separate"/>
      </w:r>
      <w:r>
        <w:rPr>
          <w:rFonts w:cs="Times New Roman"/>
          <w:sz w:val="24"/>
        </w:rPr>
        <w:t xml:space="preserve">69</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"_Toc2512" </w:instrText>
      </w:r>
      <w:r>
        <w:fldChar w:fldCharType="separate"/>
      </w:r>
      <w:r>
        <w:rPr>
          <w:rFonts w:cs="Times New Roman"/>
          <w:sz w:val="24"/>
        </w:rPr>
        <w:t xml:space="preserve">ZJZ/CX-20 管理评审程序</w:t>
      </w:r>
      <w:r>
        <w:rPr>
          <w:rFonts w:cs="Times New Roman"/>
          <w:sz w:val="24"/>
        </w:rPr>
        <w:tab/>
      </w:r>
      <w:r>
        <w:rPr>
          <w:rFonts w:cs="Times New Roman"/>
          <w:sz w:val="24"/>
        </w:rPr>
        <w:fldChar w:fldCharType="begin"/>
      </w:r>
      <w:r>
        <w:rPr>
          <w:rFonts w:cs="Times New Roman"/>
          <w:sz w:val="24"/>
        </w:rPr>
        <w:instrText xml:space="preserve"> PAGEREF _Toc2512 \h </w:instrText>
      </w:r>
      <w:r>
        <w:rPr>
          <w:rFonts w:cs="Times New Roman"/>
          <w:sz w:val="24"/>
        </w:rPr>
        <w:fldChar w:fldCharType="separate"/>
      </w:r>
      <w:r>
        <w:rPr>
          <w:rFonts w:cs="Times New Roman"/>
          <w:sz w:val="24"/>
        </w:rPr>
        <w:t xml:space="preserve">75</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"_Toc13530" </w:instrText>
      </w:r>
      <w:r>
        <w:fldChar w:fldCharType="separate"/>
      </w:r>
      <w:r>
        <w:rPr>
          <w:rFonts w:cs="Times New Roman"/>
          <w:sz w:val="24"/>
        </w:rPr>
        <w:t xml:space="preserve">ZJZ/CX-21 检测方法的选择、确认和验证程序</w:t>
      </w:r>
      <w:r>
        <w:rPr>
          <w:rFonts w:cs="Times New Roman"/>
          <w:sz w:val="24"/>
        </w:rPr>
        <w:tab/>
      </w:r>
      <w:r>
        <w:rPr>
          <w:rFonts w:cs="Times New Roman"/>
          <w:sz w:val="24"/>
        </w:rPr>
        <w:fldChar w:fldCharType="begin"/>
      </w:r>
      <w:r>
        <w:rPr>
          <w:rFonts w:cs="Times New Roman"/>
          <w:sz w:val="24"/>
        </w:rPr>
        <w:instrText xml:space="preserve"> PAGEREF _Toc13530 \h </w:instrText>
      </w:r>
      <w:r>
        <w:rPr>
          <w:rFonts w:cs="Times New Roman"/>
          <w:sz w:val="24"/>
        </w:rPr>
        <w:fldChar w:fldCharType="separate"/>
      </w:r>
      <w:r>
        <w:rPr>
          <w:rFonts w:cs="Times New Roman"/>
          <w:sz w:val="24"/>
        </w:rPr>
        <w:t xml:space="preserve">80</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"_Toc11905" </w:instrText>
      </w:r>
      <w:r>
        <w:fldChar w:fldCharType="separate"/>
      </w:r>
      <w:r>
        <w:rPr>
          <w:rFonts w:cs="Times New Roman"/>
          <w:sz w:val="24"/>
        </w:rPr>
        <w:t xml:space="preserve">ZJZ/CX-22 检测方法偏离控制程序</w:t>
      </w:r>
      <w:r>
        <w:rPr>
          <w:rFonts w:cs="Times New Roman"/>
          <w:sz w:val="24"/>
        </w:rPr>
        <w:tab/>
      </w:r>
      <w:r>
        <w:rPr>
          <w:rFonts w:cs="Times New Roman"/>
          <w:sz w:val="24"/>
        </w:rPr>
        <w:fldChar w:fldCharType="begin"/>
      </w:r>
      <w:r>
        <w:rPr>
          <w:rFonts w:cs="Times New Roman"/>
          <w:sz w:val="24"/>
        </w:rPr>
        <w:instrText xml:space="preserve"> PAGEREF _Toc11905 \h </w:instrText>
      </w:r>
      <w:r>
        <w:rPr>
          <w:rFonts w:cs="Times New Roman"/>
          <w:sz w:val="24"/>
        </w:rPr>
        <w:fldChar w:fldCharType="separate"/>
      </w:r>
      <w:r>
        <w:rPr>
          <w:rFonts w:cs="Times New Roman"/>
          <w:sz w:val="24"/>
        </w:rPr>
        <w:t xml:space="preserve">86</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"_Toc10218" </w:instrText>
      </w:r>
      <w:r>
        <w:fldChar w:fldCharType="separate"/>
      </w:r>
      <w:r>
        <w:rPr>
          <w:rFonts w:cs="Times New Roman"/>
          <w:sz w:val="24"/>
        </w:rPr>
        <w:t xml:space="preserve">ZJZ/CX-23 测量不确定度评定程序</w:t>
      </w:r>
      <w:r>
        <w:rPr>
          <w:rFonts w:cs="Times New Roman"/>
          <w:sz w:val="24"/>
        </w:rPr>
        <w:tab/>
      </w:r>
      <w:r>
        <w:rPr>
          <w:rFonts w:cs="Times New Roman"/>
          <w:sz w:val="24"/>
        </w:rPr>
        <w:fldChar w:fldCharType="begin"/>
      </w:r>
      <w:r>
        <w:rPr>
          <w:rFonts w:cs="Times New Roman"/>
          <w:sz w:val="24"/>
        </w:rPr>
        <w:instrText xml:space="preserve"> PAGEREF _Toc10218 \h </w:instrText>
      </w:r>
      <w:r>
        <w:rPr>
          <w:rFonts w:cs="Times New Roman"/>
          <w:sz w:val="24"/>
        </w:rPr>
        <w:fldChar w:fldCharType="separate"/>
      </w:r>
      <w:r>
        <w:rPr>
          <w:rFonts w:cs="Times New Roman"/>
          <w:sz w:val="24"/>
        </w:rPr>
        <w:t xml:space="preserve">89</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"_Toc17541" </w:instrText>
      </w:r>
      <w:r>
        <w:fldChar w:fldCharType="separate"/>
      </w:r>
      <w:r>
        <w:rPr>
          <w:rFonts w:cs="Times New Roman"/>
          <w:sz w:val="24"/>
        </w:rPr>
        <w:t xml:space="preserve">ZJZ/CX-24 数据和信息管理程序</w:t>
      </w:r>
      <w:r>
        <w:rPr>
          <w:rFonts w:cs="Times New Roman"/>
          <w:sz w:val="24"/>
        </w:rPr>
        <w:tab/>
      </w:r>
      <w:r>
        <w:rPr>
          <w:rFonts w:cs="Times New Roman"/>
          <w:sz w:val="24"/>
        </w:rPr>
        <w:fldChar w:fldCharType="begin"/>
      </w:r>
      <w:r>
        <w:rPr>
          <w:rFonts w:cs="Times New Roman"/>
          <w:sz w:val="24"/>
        </w:rPr>
        <w:instrText xml:space="preserve"> PAGEREF _Toc17541 \h </w:instrText>
      </w:r>
      <w:r>
        <w:rPr>
          <w:rFonts w:cs="Times New Roman"/>
          <w:sz w:val="24"/>
        </w:rPr>
        <w:fldChar w:fldCharType="separate"/>
      </w:r>
      <w:r>
        <w:rPr>
          <w:rFonts w:cs="Times New Roman"/>
          <w:sz w:val="24"/>
        </w:rPr>
        <w:t xml:space="preserve">99</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"_Toc24676" </w:instrText>
      </w:r>
      <w:r>
        <w:fldChar w:fldCharType="separate"/>
      </w:r>
      <w:r>
        <w:rPr>
          <w:rFonts w:cs="Times New Roman"/>
          <w:sz w:val="24"/>
        </w:rPr>
        <w:t xml:space="preserve">ZJZ/CX-25 抽样管理程序</w:t>
      </w:r>
      <w:r>
        <w:rPr>
          <w:rFonts w:cs="Times New Roman"/>
          <w:sz w:val="24"/>
        </w:rPr>
        <w:tab/>
      </w:r>
      <w:r>
        <w:rPr>
          <w:rFonts w:cs="Times New Roman"/>
          <w:sz w:val="24"/>
        </w:rPr>
        <w:fldChar w:fldCharType="begin"/>
      </w:r>
      <w:r>
        <w:rPr>
          <w:rFonts w:cs="Times New Roman"/>
          <w:sz w:val="24"/>
        </w:rPr>
        <w:instrText xml:space="preserve"> PAGEREF _Toc24676 \h </w:instrText>
      </w:r>
      <w:r>
        <w:rPr>
          <w:rFonts w:cs="Times New Roman"/>
          <w:sz w:val="24"/>
        </w:rPr>
        <w:fldChar w:fldCharType="separate"/>
      </w:r>
      <w:r>
        <w:rPr>
          <w:rFonts w:cs="Times New Roman"/>
          <w:sz w:val="24"/>
        </w:rPr>
        <w:t xml:space="preserve">103</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"_Toc21287" </w:instrText>
      </w:r>
      <w:r>
        <w:fldChar w:fldCharType="separate"/>
      </w:r>
      <w:r>
        <w:rPr>
          <w:rFonts w:cs="Times New Roman"/>
          <w:sz w:val="24"/>
        </w:rPr>
        <w:t xml:space="preserve">ZJZ/CX-26 样品管理程序</w:t>
      </w:r>
      <w:r>
        <w:rPr>
          <w:rFonts w:cs="Times New Roman"/>
          <w:sz w:val="24"/>
        </w:rPr>
        <w:tab/>
      </w:r>
      <w:r>
        <w:rPr>
          <w:rFonts w:cs="Times New Roman"/>
          <w:sz w:val="24"/>
        </w:rPr>
        <w:fldChar w:fldCharType="begin"/>
      </w:r>
      <w:r>
        <w:rPr>
          <w:rFonts w:cs="Times New Roman"/>
          <w:sz w:val="24"/>
        </w:rPr>
        <w:instrText xml:space="preserve"> PAGEREF _Toc21287 \h </w:instrText>
      </w:r>
      <w:r>
        <w:rPr>
          <w:rFonts w:cs="Times New Roman"/>
          <w:sz w:val="24"/>
        </w:rPr>
        <w:fldChar w:fldCharType="separate"/>
      </w:r>
      <w:r>
        <w:rPr>
          <w:rFonts w:cs="Times New Roman"/>
          <w:sz w:val="24"/>
        </w:rPr>
        <w:t xml:space="preserve">106</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"_Toc5486" </w:instrText>
      </w:r>
      <w:r>
        <w:fldChar w:fldCharType="separate"/>
      </w:r>
      <w:r>
        <w:rPr>
          <w:rFonts w:cs="Times New Roman"/>
          <w:sz w:val="24"/>
        </w:rPr>
        <w:t xml:space="preserve">ZJZ/CX-27 检验检测质量控制程序</w:t>
      </w:r>
      <w:r>
        <w:rPr>
          <w:rFonts w:cs="Times New Roman"/>
          <w:sz w:val="24"/>
        </w:rPr>
        <w:tab/>
      </w:r>
      <w:r>
        <w:rPr>
          <w:rFonts w:cs="Times New Roman"/>
          <w:sz w:val="24"/>
        </w:rPr>
        <w:fldChar w:fldCharType="begin"/>
      </w:r>
      <w:r>
        <w:rPr>
          <w:rFonts w:cs="Times New Roman"/>
          <w:sz w:val="24"/>
        </w:rPr>
        <w:instrText xml:space="preserve"> PAGEREF _Toc5486 \h </w:instrText>
      </w:r>
      <w:r>
        <w:rPr>
          <w:rFonts w:cs="Times New Roman"/>
          <w:sz w:val="24"/>
        </w:rPr>
        <w:fldChar w:fldCharType="separate"/>
      </w:r>
      <w:r>
        <w:rPr>
          <w:rFonts w:cs="Times New Roman"/>
          <w:sz w:val="24"/>
        </w:rPr>
        <w:t xml:space="preserve">111</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"_Toc30164" </w:instrText>
      </w:r>
      <w:r>
        <w:fldChar w:fldCharType="separate"/>
      </w:r>
      <w:r>
        <w:rPr>
          <w:rFonts w:cs="Times New Roman"/>
          <w:sz w:val="24"/>
        </w:rPr>
        <w:t xml:space="preserve">ZJZ/CX-28 能力验证/实验室间比对程序</w:t>
      </w:r>
      <w:r>
        <w:rPr>
          <w:rFonts w:cs="Times New Roman"/>
          <w:sz w:val="24"/>
        </w:rPr>
        <w:tab/>
      </w:r>
      <w:r>
        <w:rPr>
          <w:rFonts w:cs="Times New Roman"/>
          <w:sz w:val="24"/>
        </w:rPr>
        <w:fldChar w:fldCharType="begin"/>
      </w:r>
      <w:r>
        <w:rPr>
          <w:rFonts w:cs="Times New Roman"/>
          <w:sz w:val="24"/>
        </w:rPr>
        <w:instrText xml:space="preserve"> PAGEREF _Toc30164 \h </w:instrText>
      </w:r>
      <w:r>
        <w:rPr>
          <w:rFonts w:cs="Times New Roman"/>
          <w:sz w:val="24"/>
        </w:rPr>
        <w:fldChar w:fldCharType="separate"/>
      </w:r>
      <w:r>
        <w:rPr>
          <w:rFonts w:cs="Times New Roman"/>
          <w:sz w:val="24"/>
        </w:rPr>
        <w:t xml:space="preserve">115</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"_Toc14875" </w:instrText>
      </w:r>
      <w:r>
        <w:fldChar w:fldCharType="separate"/>
      </w:r>
      <w:r>
        <w:rPr>
          <w:rFonts w:cs="Times New Roman"/>
          <w:sz w:val="24"/>
        </w:rPr>
        <w:t xml:space="preserve">ZJZ/CX-29 结果报告管理程序</w:t>
      </w:r>
      <w:r>
        <w:rPr>
          <w:rFonts w:cs="Times New Roman"/>
          <w:sz w:val="24"/>
        </w:rPr>
        <w:tab/>
      </w:r>
      <w:r>
        <w:rPr>
          <w:rFonts w:cs="Times New Roman"/>
          <w:sz w:val="24"/>
        </w:rPr>
        <w:fldChar w:fldCharType="begin"/>
      </w:r>
      <w:r>
        <w:rPr>
          <w:rFonts w:cs="Times New Roman"/>
          <w:sz w:val="24"/>
        </w:rPr>
        <w:instrText xml:space="preserve"> PAGEREF _Toc14875 \h </w:instrText>
      </w:r>
      <w:r>
        <w:rPr>
          <w:rFonts w:cs="Times New Roman"/>
          <w:sz w:val="24"/>
        </w:rPr>
        <w:fldChar w:fldCharType="separate"/>
      </w:r>
      <w:r>
        <w:rPr>
          <w:rFonts w:cs="Times New Roman"/>
          <w:sz w:val="24"/>
        </w:rPr>
        <w:t xml:space="preserve">118</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"_Toc27468" </w:instrText>
      </w:r>
      <w:r>
        <w:fldChar w:fldCharType="separate"/>
      </w:r>
      <w:r>
        <w:rPr>
          <w:rFonts w:cs="Times New Roman"/>
          <w:sz w:val="24"/>
        </w:rPr>
        <w:t xml:space="preserve">ZJZ/CX-30 内务和安全管理程序</w:t>
      </w:r>
      <w:r>
        <w:rPr>
          <w:rFonts w:cs="Times New Roman"/>
          <w:sz w:val="24"/>
        </w:rPr>
        <w:tab/>
      </w:r>
      <w:r>
        <w:rPr>
          <w:rFonts w:cs="Times New Roman"/>
          <w:sz w:val="24"/>
        </w:rPr>
        <w:fldChar w:fldCharType="begin"/>
      </w:r>
      <w:r>
        <w:rPr>
          <w:rFonts w:cs="Times New Roman"/>
          <w:sz w:val="24"/>
        </w:rPr>
        <w:instrText xml:space="preserve"> PAGEREF _Toc27468 \h </w:instrText>
      </w:r>
      <w:r>
        <w:rPr>
          <w:rFonts w:cs="Times New Roman"/>
          <w:sz w:val="24"/>
        </w:rPr>
        <w:fldChar w:fldCharType="separate"/>
      </w:r>
      <w:r>
        <w:rPr>
          <w:rFonts w:cs="Times New Roman"/>
          <w:sz w:val="24"/>
        </w:rPr>
        <w:t xml:space="preserve">125</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"_Toc4699" </w:instrText>
      </w:r>
      <w:r>
        <w:fldChar w:fldCharType="separate"/>
      </w:r>
      <w:r>
        <w:rPr>
          <w:rFonts w:cs="Times New Roman"/>
          <w:sz w:val="24"/>
        </w:rPr>
        <w:t xml:space="preserve">ZJZ/CX-31 风险辨识和评价程序</w:t>
      </w:r>
      <w:r>
        <w:rPr>
          <w:rFonts w:cs="Times New Roman"/>
          <w:sz w:val="24"/>
        </w:rPr>
        <w:tab/>
      </w:r>
      <w:r>
        <w:rPr>
          <w:rFonts w:cs="Times New Roman"/>
          <w:sz w:val="24"/>
        </w:rPr>
        <w:fldChar w:fldCharType="begin"/>
      </w:r>
      <w:r>
        <w:rPr>
          <w:rFonts w:cs="Times New Roman"/>
          <w:sz w:val="24"/>
        </w:rPr>
        <w:instrText xml:space="preserve"> PAGEREF _Toc4699 \h </w:instrText>
      </w:r>
      <w:r>
        <w:rPr>
          <w:rFonts w:cs="Times New Roman"/>
          <w:sz w:val="24"/>
        </w:rPr>
        <w:fldChar w:fldCharType="separate"/>
      </w:r>
      <w:r>
        <w:rPr>
          <w:rFonts w:cs="Times New Roman"/>
          <w:sz w:val="24"/>
        </w:rPr>
        <w:t xml:space="preserve">136</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"_Toc3903" </w:instrText>
      </w:r>
      <w:r>
        <w:fldChar w:fldCharType="separate"/>
      </w:r>
      <w:r>
        <w:rPr>
          <w:rFonts w:cs="Times New Roman"/>
          <w:sz w:val="24"/>
        </w:rPr>
        <w:t xml:space="preserve">ZJZ/CX-32 危险化学品管理程序</w:t>
      </w:r>
      <w:r>
        <w:rPr>
          <w:rFonts w:cs="Times New Roman"/>
          <w:sz w:val="24"/>
        </w:rPr>
        <w:tab/>
      </w:r>
      <w:r>
        <w:rPr>
          <w:rFonts w:cs="Times New Roman"/>
          <w:sz w:val="24"/>
        </w:rPr>
        <w:fldChar w:fldCharType="begin"/>
      </w:r>
      <w:r>
        <w:rPr>
          <w:rFonts w:cs="Times New Roman"/>
          <w:sz w:val="24"/>
        </w:rPr>
        <w:instrText xml:space="preserve"> PAGEREF _Toc3903 \h </w:instrText>
      </w:r>
      <w:r>
        <w:rPr>
          <w:rFonts w:cs="Times New Roman"/>
          <w:sz w:val="24"/>
        </w:rPr>
        <w:fldChar w:fldCharType="separate"/>
      </w:r>
      <w:r>
        <w:rPr>
          <w:rFonts w:cs="Times New Roman"/>
          <w:sz w:val="24"/>
        </w:rPr>
        <w:t xml:space="preserve">140</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rFonts w:cs="Times New Roman"/>
          <w:sz w:val="24"/>
        </w:rPr>
      </w:pPr>
      <w:r>
        <w:fldChar w:fldCharType="begin"/>
      </w:r>
      <w:r>
        <w:instrText xml:space="preserve"> HYPERLINK \l "_Toc7312" </w:instrText>
      </w:r>
      <w:r>
        <w:fldChar w:fldCharType="separate"/>
      </w:r>
      <w:r>
        <w:rPr>
          <w:rFonts w:cs="Times New Roman"/>
          <w:sz w:val="24"/>
        </w:rPr>
        <w:t xml:space="preserve">ZJZ/CX-33 危险废物管理程序</w:t>
      </w:r>
      <w:r>
        <w:rPr>
          <w:rFonts w:cs="Times New Roman"/>
          <w:sz w:val="24"/>
        </w:rPr>
        <w:tab/>
      </w:r>
      <w:r>
        <w:rPr>
          <w:rFonts w:cs="Times New Roman"/>
          <w:sz w:val="24"/>
        </w:rPr>
        <w:fldChar w:fldCharType="begin"/>
      </w:r>
      <w:r>
        <w:rPr>
          <w:rFonts w:cs="Times New Roman"/>
          <w:sz w:val="24"/>
        </w:rPr>
        <w:instrText xml:space="preserve"> PAGEREF _Toc7312 \h </w:instrText>
      </w:r>
      <w:r>
        <w:rPr>
          <w:rFonts w:cs="Times New Roman"/>
          <w:sz w:val="24"/>
        </w:rPr>
        <w:fldChar w:fldCharType="separate"/>
      </w:r>
      <w:r>
        <w:rPr>
          <w:rFonts w:cs="Times New Roman"/>
          <w:sz w:val="24"/>
        </w:rPr>
        <w:t xml:space="preserve">146</w:t>
      </w:r>
      <w:r>
        <w:rPr>
          <w:rFonts w:cs="Times New Roman"/>
          <w:sz w:val="24"/>
        </w:rPr>
        <w:fldChar w:fldCharType="end"/>
      </w:r>
      <w:r>
        <w:rPr>
          <w:rFonts w:cs="Times New Roman"/>
          <w:sz w:val="24"/>
        </w:rPr>
        <w:fldChar w:fldCharType="end"/>
      </w:r>
      <w:r>
        <w:rPr>
          <w:rFonts w:cs="Times New Roman"/>
          <w:sz w:val="24"/>
        </w:rPr>
      </w:r>
    </w:p>
    <w:p>
      <w:pPr>
        <w:pStyle w:val="1992"/>
        <w:pBdr/>
        <w:tabs>
          <w:tab w:val="right" w:leader="dot" w:pos="8306"/>
        </w:tabs>
        <w:spacing w:line="240" w:lineRule="auto"/>
        <w:ind/>
        <w:rPr/>
      </w:pPr>
      <w:r>
        <w:fldChar w:fldCharType="begin"/>
      </w:r>
      <w:r>
        <w:instrText xml:space="preserve"> HYPERLINK \l "_Toc6677" </w:instrText>
      </w:r>
      <w:r>
        <w:fldChar w:fldCharType="separate"/>
      </w:r>
      <w:r>
        <w:rPr>
          <w:rFonts w:cs="Times New Roman"/>
          <w:sz w:val="24"/>
        </w:rPr>
        <w:t xml:space="preserve">ZJZ/CX-34 管理变更控制程序</w:t>
      </w:r>
      <w:r>
        <w:rPr>
          <w:rFonts w:cs="Times New Roman"/>
          <w:sz w:val="24"/>
        </w:rPr>
        <w:tab/>
      </w:r>
      <w:r>
        <w:rPr>
          <w:rFonts w:cs="Times New Roman"/>
          <w:sz w:val="24"/>
        </w:rPr>
        <w:fldChar w:fldCharType="begin"/>
      </w:r>
      <w:r>
        <w:rPr>
          <w:rFonts w:cs="Times New Roman"/>
          <w:sz w:val="24"/>
        </w:rPr>
        <w:instrText xml:space="preserve"> PAGEREF _Toc6677 \h </w:instrText>
      </w:r>
      <w:r>
        <w:rPr>
          <w:rFonts w:cs="Times New Roman"/>
          <w:sz w:val="24"/>
        </w:rPr>
        <w:fldChar w:fldCharType="separate"/>
      </w:r>
      <w:r>
        <w:rPr>
          <w:rFonts w:cs="Times New Roman"/>
          <w:sz w:val="24"/>
        </w:rPr>
        <w:t xml:space="preserve">151</w:t>
      </w:r>
      <w:r>
        <w:rPr>
          <w:rFonts w:cs="Times New Roman"/>
          <w:sz w:val="24"/>
        </w:rPr>
        <w:fldChar w:fldCharType="end"/>
      </w:r>
      <w:r>
        <w:rPr>
          <w:rFonts w:cs="Times New Roman"/>
          <w:sz w:val="24"/>
        </w:rPr>
        <w:fldChar w:fldCharType="end"/>
      </w: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0" w:name="_Toc8142"/>
      <w:r>
        <w:rPr>
          <w:color w:val="000000" w:themeColor="text1"/>
          <w14:textFill>
            <w14:solidFill>
              <w14:schemeClr w14:val="tx1"/>
            </w14:solidFill>
          </w14:textFill>
        </w:rPr>
        <w:t xml:space="preserve">修改履历</w:t>
      </w:r>
      <w:bookmarkEnd w:id="0"/>
      <w:r/>
      <w:r>
        <w:rPr>
          <w:color w:val="000000" w:themeColor="text1"/>
          <w14:textFill>
            <w14:solidFill>
              <w14:schemeClr w14:val="tx1"/>
            </w14:solidFill>
          </w14:textFill>
        </w:rPr>
      </w:r>
    </w:p>
    <w:tbl>
      <w:tblPr>
        <w:tblStyle w:val="198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top w:w="0" w:type="dxa"/>
          <w:right w:w="10" w:type="dxa"/>
          <w:bottom w:w="0" w:type="dxa"/>
        </w:tblCellMar>
        <w:tblLook w:val="04A0" w:firstRow="1" w:lastRow="0" w:firstColumn="1" w:lastColumn="0" w:noHBand="0" w:noVBand="1"/>
      </w:tblPr>
      <w:tblGrid>
        <w:gridCol w:w="592"/>
        <w:gridCol w:w="703"/>
        <w:gridCol w:w="2410"/>
        <w:gridCol w:w="1729"/>
        <w:gridCol w:w="833"/>
        <w:gridCol w:w="1313"/>
        <w:gridCol w:w="961"/>
      </w:tblGrid>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序号</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页码</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修改内容</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修改原因</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修改人</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修改日期</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批准人</w:t>
            </w:r>
            <w:r>
              <w:rPr>
                <w:rFonts w:hint="eastAsia" w:eastAsiaTheme="minorEastAsia"/>
                <w:color w:val="000000" w:themeColor="text1"/>
                <w:lang w:val="en-US" w:eastAsia="zh-CN"/>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4</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删除</w:t>
            </w:r>
            <w:r>
              <w:rPr>
                <w:rFonts w:hint="eastAsia"/>
                <w:color w:val="000000"/>
                <w:sz w:val="24"/>
              </w:rPr>
              <w:t xml:space="preserve">RB/T214-2017</w:t>
            </w:r>
            <w:r>
              <w:rPr>
                <w:rFonts w:hint="default"/>
                <w:color w:val="000000" w:themeColor="text1"/>
                <w14:textFill>
                  <w14:solidFill>
                    <w14:schemeClr w14:val="tx1"/>
                  </w14:solidFill>
                </w14:textFill>
              </w:rPr>
              <w:t xml:space="preserve">检验检测机构资质认定能力评价</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标准作废</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马杰</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t xml:space="preserve">025.10.04</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default" w:eastAsiaTheme="minorEastAsia"/>
                <w:color w:val="000000" w:themeColor="text1"/>
                <w:lang w:val="en-US" w:eastAsia="zh-CN"/>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7</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sz w:val="24"/>
                <w14:textFill>
                  <w14:solidFill>
                    <w14:schemeClr w14:val="tx1"/>
                  </w14:solidFill>
                </w14:textFill>
              </w:rPr>
              <w:t xml:space="preserve">4.2.8中</w:t>
            </w:r>
            <w:r>
              <w:rPr>
                <w:rFonts w:hint="eastAsia"/>
                <w:color w:val="000000" w:themeColor="text1"/>
                <w:sz w:val="24"/>
                <w:lang w:eastAsia="zh-CN"/>
                <w14:textFill>
                  <w14:solidFill>
                    <w14:schemeClr w14:val="tx1"/>
                  </w14:solidFill>
                </w14:textFill>
              </w:rPr>
              <w:t xml:space="preserve">“</w:t>
            </w:r>
            <w:r>
              <w:rPr>
                <w:rFonts w:hint="default"/>
              </w:rPr>
              <w:fldChar w:fldCharType="begin"/>
            </w:r>
            <w:r>
              <w:rPr>
                <w:rFonts w:hint="default"/>
              </w:rPr>
              <w:instrText xml:space="preserve"> HYPERLINK "https://pqsuhhq8yu6.feishu.cn/wiki/EwoTwFjyUikY5nk3rgac0xqGnkc" \h </w:instrText>
            </w:r>
            <w:r>
              <w:rPr>
                <w:rFonts w:hint="default"/>
              </w:rPr>
              <w:fldChar w:fldCharType="separate"/>
            </w:r>
            <w:r>
              <w:rPr>
                <w:rFonts w:hint="default"/>
                <w:color w:val="000000" w:themeColor="text1"/>
                <w:sz w:val="24"/>
                <w14:textFill>
                  <w14:solidFill>
                    <w14:schemeClr w14:val="tx1"/>
                  </w14:solidFill>
                </w14:textFill>
              </w:rPr>
              <w:t xml:space="preserve">26.样品管理程序</w:t>
            </w:r>
            <w:r>
              <w:rPr>
                <w:rFonts w:hint="default"/>
                <w:color w:val="000000" w:themeColor="text1"/>
                <w:sz w:val="24"/>
                <w14:textFill>
                  <w14:solidFill>
                    <w14:schemeClr w14:val="tx1"/>
                  </w14:solidFill>
                </w14:textFill>
              </w:rPr>
              <w:fldChar w:fldCharType="end"/>
            </w:r>
            <w:r>
              <w:rPr>
                <w:rFonts w:hint="default"/>
                <w:color w:val="000000" w:themeColor="text1"/>
                <w:sz w:val="24"/>
                <w14:textFill>
                  <w14:solidFill>
                    <w14:schemeClr w14:val="tx1"/>
                  </w14:solidFill>
                </w14:textFill>
              </w:rPr>
              <w:t xml:space="preserve">执行</w:t>
            </w:r>
            <w:r>
              <w:rPr>
                <w:rFonts w:hint="eastAsia"/>
                <w:color w:val="000000" w:themeColor="text1"/>
                <w:sz w:val="24"/>
                <w:lang w:eastAsia="zh-CN"/>
                <w14:textFill>
                  <w14:solidFill>
                    <w14:schemeClr w14:val="tx1"/>
                  </w14:solidFill>
                </w14:textFill>
              </w:rPr>
              <w:t xml:space="preserve">”</w:t>
            </w:r>
            <w:r>
              <w:rPr>
                <w:rFonts w:hint="eastAsia"/>
                <w:color w:val="000000" w:themeColor="text1"/>
                <w:sz w:val="24"/>
                <w14:textFill>
                  <w14:solidFill>
                    <w14:schemeClr w14:val="tx1"/>
                  </w14:solidFill>
                </w14:textFill>
              </w:rPr>
              <w:t xml:space="preserve">修改为ZJZ/CX-2</w:t>
            </w:r>
            <w:r>
              <w:rPr>
                <w:rFonts w:hint="default"/>
              </w:rPr>
              <w:fldChar w:fldCharType="begin"/>
            </w:r>
            <w:r>
              <w:rPr>
                <w:rFonts w:hint="default"/>
              </w:rPr>
              <w:instrText xml:space="preserve"> HYPERLINK "https://pqsuhhq8yu6.feishu.cn/wiki/EwoTwFjyUikY5nk3rgac0xqGnkc" \h </w:instrText>
            </w:r>
            <w:r>
              <w:rPr>
                <w:rFonts w:hint="default"/>
              </w:rPr>
              <w:fldChar w:fldCharType="separate"/>
            </w:r>
            <w:r>
              <w:rPr>
                <w:rFonts w:hint="default"/>
                <w:color w:val="000000" w:themeColor="text1"/>
                <w:sz w:val="24"/>
                <w14:textFill>
                  <w14:solidFill>
                    <w14:schemeClr w14:val="tx1"/>
                  </w14:solidFill>
                </w14:textFill>
              </w:rPr>
              <w:t xml:space="preserve">6样品管理程序</w:t>
            </w:r>
            <w:r>
              <w:rPr>
                <w:rFonts w:hint="default"/>
                <w:color w:val="000000" w:themeColor="text1"/>
                <w:sz w:val="24"/>
                <w14:textFill>
                  <w14:solidFill>
                    <w14:schemeClr w14:val="tx1"/>
                  </w14:solidFill>
                </w14:textFill>
              </w:rPr>
              <w:fldChar w:fldCharType="end"/>
            </w:r>
            <w:r>
              <w:rPr>
                <w:rFonts w:hint="default"/>
                <w:color w:val="000000" w:themeColor="text1"/>
                <w:sz w:val="24"/>
                <w14:textFill>
                  <w14:solidFill>
                    <w14:schemeClr w14:val="tx1"/>
                  </w14:solidFill>
                </w14:textFill>
              </w:rPr>
              <w:t xml:space="preserve">执行</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程序编号不全</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马杰</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t xml:space="preserve">025.10.04</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eastAsia"/>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3</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w:t>
            </w:r>
            <w:r>
              <w:rPr>
                <w:rFonts w:hint="default"/>
                <w:color w:val="000000" w:themeColor="text1"/>
                <w14:textFill>
                  <w14:solidFill>
                    <w14:schemeClr w14:val="tx1"/>
                  </w14:solidFill>
                </w14:textFill>
              </w:rPr>
              <w:t xml:space="preserve">0</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4</w:t>
            </w:r>
            <w:r>
              <w:rPr>
                <w:rFonts w:hint="default"/>
                <w:color w:val="000000" w:themeColor="text1"/>
                <w14:textFill>
                  <w14:solidFill>
                    <w14:schemeClr w14:val="tx1"/>
                  </w14:solidFill>
                </w14:textFill>
              </w:rPr>
              <w:t xml:space="preserve">.2.1</w:t>
            </w:r>
            <w:r>
              <w:rPr>
                <w:rFonts w:hint="eastAsia"/>
                <w:color w:val="000000" w:themeColor="text1"/>
                <w14:textFill>
                  <w14:solidFill>
                    <w14:schemeClr w14:val="tx1"/>
                  </w14:solidFill>
                </w14:textFill>
              </w:rPr>
              <w:t xml:space="preserve">中</w:t>
            </w:r>
            <w:r>
              <w:rPr>
                <w:rFonts w:hint="default"/>
                <w:color w:val="000000" w:themeColor="text1"/>
                <w14:textFill>
                  <w14:solidFill>
                    <w14:schemeClr w14:val="tx1"/>
                  </w14:solidFill>
                </w14:textFill>
              </w:rPr>
              <w:t xml:space="preserve">内审员需通过</w:t>
            </w:r>
            <w:r>
              <w:rPr>
                <w:rFonts w:hint="eastAsia"/>
                <w:color w:val="000000" w:themeColor="text1"/>
                <w14:textFill>
                  <w14:solidFill>
                    <w14:schemeClr w14:val="tx1"/>
                  </w14:solidFill>
                </w14:textFill>
              </w:rPr>
              <w:t xml:space="preserve">石油评审组或</w:t>
            </w:r>
            <w:r>
              <w:rPr>
                <w:rFonts w:hint="default"/>
                <w:color w:val="000000" w:themeColor="text1"/>
                <w14:textFill>
                  <w14:solidFill>
                    <w14:schemeClr w14:val="tx1"/>
                  </w14:solidFill>
                </w14:textFill>
              </w:rPr>
              <w:t xml:space="preserve">第三方专业培训后取得合格证</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与质量手册内容不一致</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马杰</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t xml:space="preserve">025.10.04</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eastAsia"/>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4</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w:t>
            </w:r>
            <w:r>
              <w:rPr>
                <w:rFonts w:hint="default"/>
                <w:color w:val="000000" w:themeColor="text1"/>
                <w14:textFill>
                  <w14:solidFill>
                    <w14:schemeClr w14:val="tx1"/>
                  </w14:solidFill>
                </w14:textFill>
              </w:rPr>
              <w:t xml:space="preserve">9</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删除4</w:t>
            </w:r>
            <w:r>
              <w:rPr>
                <w:rFonts w:hint="default"/>
                <w:color w:val="000000" w:themeColor="text1"/>
                <w14:textFill>
                  <w14:solidFill>
                    <w14:schemeClr w14:val="tx1"/>
                  </w14:solidFill>
                </w14:textFill>
              </w:rPr>
              <w:t xml:space="preserve">.3.1</w:t>
            </w:r>
            <w:r>
              <w:rPr>
                <w:rFonts w:hint="eastAsia"/>
                <w:color w:val="000000" w:themeColor="text1"/>
                <w:sz w:val="24"/>
                <w14:textFill>
                  <w14:solidFill>
                    <w14:schemeClr w14:val="tx1"/>
                  </w14:solidFill>
                </w14:textFill>
              </w:rPr>
              <w:t xml:space="preserve">实验室室主任提出采购需求时，应充分开展设备调研</w:t>
            </w:r>
            <w:r>
              <w:rPr>
                <w:rFonts w:hint="default"/>
                <w:color w:val="000000" w:themeColor="text1"/>
                <w:sz w:val="24"/>
                <w14:textFill>
                  <w14:solidFill>
                    <w14:schemeClr w14:val="tx1"/>
                  </w14:solidFill>
                </w14:textFill>
              </w:rPr>
              <w:t xml:space="preserve">……</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与实际情况不符</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马杰</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t xml:space="preserve">025.10.04</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eastAsia"/>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5</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8</w:t>
            </w:r>
            <w:r>
              <w:rPr>
                <w:rFonts w:hint="default"/>
                <w:color w:val="000000" w:themeColor="text1"/>
                <w14:textFill>
                  <w14:solidFill>
                    <w14:schemeClr w14:val="tx1"/>
                  </w14:solidFill>
                </w14:textFill>
              </w:rPr>
              <w:t xml:space="preserve">1</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szCs w:val="21"/>
              </w:rPr>
              <w:t xml:space="preserve">ZJZ/JL21-1</w:t>
            </w:r>
            <w:r>
              <w:rPr>
                <w:rFonts w:hint="eastAsia"/>
                <w:color w:val="000000" w:themeColor="text1"/>
                <w14:textFill>
                  <w14:solidFill>
                    <w14:schemeClr w14:val="tx1"/>
                  </w14:solidFill>
                </w14:textFill>
              </w:rPr>
              <w:t xml:space="preserve">检测方法确认审批表</w:t>
            </w:r>
            <w:r>
              <w:rPr>
                <w:rFonts w:hint="eastAsia"/>
                <w:color w:val="000000" w:themeColor="text1"/>
                <w:lang w:eastAsia="zh-CN"/>
                <w14:textFill>
                  <w14:solidFill>
                    <w14:schemeClr w14:val="tx1"/>
                  </w14:solidFill>
                </w14:textFill>
              </w:rPr>
              <w:t xml:space="preserve">、</w:t>
            </w:r>
            <w:r>
              <w:rPr>
                <w:rFonts w:hint="default"/>
                <w:color w:val="000000"/>
                <w:szCs w:val="21"/>
              </w:rPr>
              <w:t xml:space="preserve">ZJZ/JL21-2</w:t>
            </w:r>
            <w:r>
              <w:rPr>
                <w:rFonts w:hint="eastAsia"/>
                <w:color w:val="000000" w:themeColor="text1"/>
                <w14:textFill>
                  <w14:solidFill>
                    <w14:schemeClr w14:val="tx1"/>
                  </w14:solidFill>
                </w14:textFill>
              </w:rPr>
              <w:t xml:space="preserve">标准方法验证记录表</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eastAsiaTheme="minorEastAsia"/>
                <w:color w:val="000000" w:themeColor="text1"/>
                <w:lang w:eastAsia="zh-CN"/>
                <w14:textFill>
                  <w14:solidFill>
                    <w14:schemeClr w14:val="tx1"/>
                  </w14:solidFill>
                </w14:textFill>
              </w:rPr>
            </w:pPr>
            <w:r>
              <w:rPr>
                <w:rFonts w:hint="eastAsia"/>
                <w:color w:val="000000"/>
                <w:szCs w:val="21"/>
                <w:lang w:val="en-US" w:eastAsia="zh-CN"/>
              </w:rPr>
              <w:t xml:space="preserve">两</w:t>
            </w:r>
            <w:r>
              <w:rPr>
                <w:rFonts w:hint="eastAsia"/>
                <w:color w:val="000000" w:themeColor="text1"/>
                <w14:textFill>
                  <w14:solidFill>
                    <w14:schemeClr w14:val="tx1"/>
                  </w14:solidFill>
                </w14:textFill>
              </w:rPr>
              <w:t xml:space="preserve">表合并</w:t>
            </w:r>
            <w:r>
              <w:rPr>
                <w:rFonts w:hint="eastAsia"/>
                <w:color w:val="000000" w:themeColor="text1"/>
                <w:lang w:eastAsia="zh-CN"/>
                <w14:textFill>
                  <w14:solidFill>
                    <w14:schemeClr w14:val="tx1"/>
                  </w14:solidFill>
                </w14:textFill>
              </w:rPr>
              <w:t xml:space="preserve">：</w:t>
            </w:r>
            <w:r>
              <w:rPr>
                <w:rFonts w:hint="default"/>
              </w:rPr>
              <w:fldChar w:fldCharType="begin"/>
            </w:r>
            <w:r>
              <w:rPr>
                <w:rFonts w:hint="default"/>
              </w:rPr>
              <w:instrText xml:space="preserve"> HYPERLINK "https://pqsuhhq8yu6.feishu.cn/wiki/SsZcwoSo2itIqTkiYoBcJuWmnwb" \h </w:instrText>
            </w:r>
            <w:r>
              <w:rPr>
                <w:rFonts w:hint="default"/>
              </w:rPr>
              <w:fldChar w:fldCharType="separate"/>
            </w:r>
            <w:r>
              <w:rPr>
                <w:rFonts w:hint="default"/>
                <w:color w:val="000000" w:themeColor="text1"/>
                <w14:textFill>
                  <w14:solidFill>
                    <w14:schemeClr w14:val="tx1"/>
                  </w14:solidFill>
                </w14:textFill>
              </w:rPr>
              <w:t xml:space="preserve">ZJZ/JL21-1</w:t>
            </w:r>
            <w:r>
              <w:rPr>
                <w:rFonts w:hint="eastAsia"/>
                <w:color w:val="000000" w:themeColor="text1"/>
                <w14:textFill>
                  <w14:solidFill>
                    <w14:schemeClr w14:val="tx1"/>
                  </w14:solidFill>
                </w14:textFill>
              </w:rPr>
              <w:t xml:space="preserve">检测方法</w:t>
            </w:r>
            <w:r>
              <w:rPr>
                <w:rFonts w:hint="eastAsia"/>
                <w:color w:val="000000" w:themeColor="text1"/>
                <w:lang w:eastAsia="zh-CN"/>
                <w14:textFill>
                  <w14:solidFill>
                    <w14:schemeClr w14:val="tx1"/>
                  </w14:solidFill>
                </w14:textFill>
              </w:rPr>
              <w:t xml:space="preserve">确认/验证</w:t>
            </w:r>
            <w:r>
              <w:rPr>
                <w:rFonts w:hint="eastAsia"/>
                <w:color w:val="000000" w:themeColor="text1"/>
                <w14:textFill>
                  <w14:solidFill>
                    <w14:schemeClr w14:val="tx1"/>
                  </w14:solidFill>
                </w14:textFill>
              </w:rPr>
              <w:t xml:space="preserve">审批表</w:t>
            </w:r>
            <w:r>
              <w:rPr>
                <w:rFonts w:hint="eastAsia"/>
                <w:color w:val="000000" w:themeColor="text1"/>
                <w14:textFill>
                  <w14:solidFill>
                    <w14:schemeClr w14:val="tx1"/>
                  </w14:solidFill>
                </w14:textFill>
              </w:rPr>
              <w:fldChar w:fldCharType="end"/>
            </w:r>
            <w:bookmarkStart w:id="64" w:name="_GoBack"/>
            <w:r/>
            <w:bookmarkEnd w:id="64"/>
            <w:r/>
            <w:r>
              <w:rPr>
                <w:rFonts w:hint="eastAsia" w:eastAsiaTheme="minorEastAsia"/>
                <w:color w:val="000000" w:themeColor="text1"/>
                <w:lang w:eastAsia="zh-CN"/>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马杰</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t xml:space="preserve">025.10.15</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eastAsia"/>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6</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w:t>
            </w:r>
            <w:r>
              <w:rPr>
                <w:rFonts w:hint="default"/>
                <w:color w:val="000000" w:themeColor="text1"/>
                <w14:textFill>
                  <w14:solidFill>
                    <w14:schemeClr w14:val="tx1"/>
                  </w14:solidFill>
                </w14:textFill>
              </w:rPr>
              <w:t xml:space="preserve">07</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新增361-液化天然气，362-车用压缩天然气等项目编号</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新增项目</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马杰</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t xml:space="preserve">025.10.15</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eastAsia"/>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7</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w:t>
            </w:r>
            <w:r>
              <w:rPr>
                <w:rFonts w:hint="default"/>
                <w:color w:val="000000" w:themeColor="text1"/>
                <w14:textFill>
                  <w14:solidFill>
                    <w14:schemeClr w14:val="tx1"/>
                  </w14:solidFill>
                </w14:textFill>
              </w:rPr>
              <w:t xml:space="preserve">28</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ZJZ/CX-30 内务和安全管理程序新增4</w:t>
            </w:r>
            <w:r>
              <w:rPr>
                <w:rFonts w:hint="default"/>
                <w:color w:val="000000" w:themeColor="text1"/>
                <w14:textFill>
                  <w14:solidFill>
                    <w14:schemeClr w14:val="tx1"/>
                  </w14:solidFill>
                </w14:textFill>
              </w:rPr>
              <w:t xml:space="preserve">.4.9</w:t>
            </w:r>
            <w:r>
              <w:rPr>
                <w:rFonts w:hint="eastAsia"/>
                <w:color w:val="000000" w:themeColor="text1"/>
                <w14:textFill>
                  <w14:solidFill>
                    <w14:schemeClr w14:val="tx1"/>
                  </w14:solidFill>
                </w14:textFill>
              </w:rPr>
              <w:t xml:space="preserve">小节</w:t>
            </w:r>
            <w:r>
              <w:rPr>
                <w:rFonts w:hint="eastAsia"/>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新增普通化学品和普通溶液管理要求</w:t>
            </w:r>
            <w:r>
              <w:rPr>
                <w:rFonts w:hint="eastAsia"/>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马杰</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t xml:space="preserve">025.10.21</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eastAsia"/>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8</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128</w:t>
            </w:r>
            <w:r>
              <w:rPr>
                <w:rFonts w:hint="default" w:eastAsiaTheme="minorEastAsia"/>
                <w:color w:val="000000" w:themeColor="text1"/>
                <w:lang w:val="en-US" w:eastAsia="zh-CN"/>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ZJZ/CX-30 内务和安全管理程序</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新增劳保用品入库和处置记录内容</w:t>
            </w:r>
            <w:r>
              <w:rPr>
                <w:rFonts w:hint="default"/>
                <w:color w:val="000000" w:themeColor="text1"/>
                <w14:textFill>
                  <w14:solidFill>
                    <w14:schemeClr w14:val="tx1"/>
                  </w14:solidFill>
                </w14:textFill>
              </w:rPr>
            </w:r>
          </w:p>
        </w:tc>
        <w:tc>
          <w:tcPr>
            <w:shd w:val="clear" w:color="auto" w:fill="auto"/>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ascii="Times New Roman" w:hAnsi="Times New Roman" w:cs="Arial" w:eastAsiaTheme="minorEastAsia"/>
                <w:color w:val="000000" w:themeColor="text1"/>
                <w:sz w:val="22"/>
                <w:szCs w:val="24"/>
                <w:lang w:val="en-US" w:eastAsia="zh-CN" w:bidi="ar-SA"/>
                <w14:textFill>
                  <w14:solidFill>
                    <w14:schemeClr w14:val="tx1"/>
                  </w14:solidFill>
                </w14:textFill>
              </w:rPr>
            </w:pPr>
            <w:r>
              <w:rPr>
                <w:rFonts w:hint="eastAsia"/>
                <w:color w:val="000000" w:themeColor="text1"/>
                <w14:textFill>
                  <w14:solidFill>
                    <w14:schemeClr w14:val="tx1"/>
                  </w14:solidFill>
                </w14:textFill>
              </w:rPr>
              <w:t xml:space="preserve">马杰</w:t>
            </w:r>
            <w:r>
              <w:rPr>
                <w:rFonts w:hint="default" w:ascii="Times New Roman" w:hAnsi="Times New Roman" w:cs="Arial" w:eastAsiaTheme="minorEastAsia"/>
                <w:color w:val="000000" w:themeColor="text1"/>
                <w:sz w:val="22"/>
                <w:szCs w:val="24"/>
                <w:lang w:val="en-US" w:eastAsia="zh-CN" w:bidi="ar-SA"/>
                <w14:textFill>
                  <w14:solidFill>
                    <w14:schemeClr w14:val="tx1"/>
                  </w14:solidFill>
                </w14:textFill>
              </w:rPr>
            </w:r>
          </w:p>
        </w:tc>
        <w:tc>
          <w:tcPr>
            <w:shd w:val="clear" w:color="auto" w:fill="auto"/>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ascii="Times New Roman" w:hAnsi="Times New Roman" w:cs="Arial" w:eastAsiaTheme="minorEastAsia"/>
                <w:color w:val="000000" w:themeColor="text1"/>
                <w:sz w:val="22"/>
                <w:szCs w:val="24"/>
                <w:lang w:val="en-US" w:eastAsia="zh-CN" w:bidi="ar-SA"/>
                <w14:textFill>
                  <w14:solidFill>
                    <w14:schemeClr w14:val="tx1"/>
                  </w14:solidFill>
                </w14:textFill>
              </w:rPr>
            </w:pPr>
            <w:r>
              <w:rPr>
                <w:rFonts w:hint="eastAsia"/>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t xml:space="preserve">025.</w:t>
            </w:r>
            <w:r>
              <w:rPr>
                <w:rFonts w:hint="eastAsia"/>
                <w:color w:val="000000" w:themeColor="text1"/>
                <w:lang w:val="en-US" w:eastAsia="zh-CN"/>
                <w14:textFill>
                  <w14:solidFill>
                    <w14:schemeClr w14:val="tx1"/>
                  </w14:solidFill>
                </w14:textFill>
              </w:rPr>
              <w:t xml:space="preserve">12</w:t>
            </w:r>
            <w:r>
              <w:rPr>
                <w:rFonts w:hint="default"/>
                <w:color w:val="000000" w:themeColor="text1"/>
                <w14:textFill>
                  <w14:solidFill>
                    <w14:schemeClr w14:val="tx1"/>
                  </w14:solidFill>
                </w14:textFill>
              </w:rPr>
              <w:t xml:space="preserve">.</w:t>
            </w:r>
            <w:r>
              <w:rPr>
                <w:rFonts w:hint="eastAsia"/>
                <w:color w:val="000000" w:themeColor="text1"/>
                <w:lang w:val="en-US" w:eastAsia="zh-CN"/>
                <w14:textFill>
                  <w14:solidFill>
                    <w14:schemeClr w14:val="tx1"/>
                  </w14:solidFill>
                </w14:textFill>
              </w:rPr>
              <w:t xml:space="preserve">1</w:t>
            </w:r>
            <w:r>
              <w:rPr>
                <w:rFonts w:hint="default"/>
                <w:color w:val="000000" w:themeColor="text1"/>
                <w14:textFill>
                  <w14:solidFill>
                    <w14:schemeClr w14:val="tx1"/>
                  </w14:solidFill>
                </w14:textFill>
              </w:rPr>
              <w:t xml:space="preserve">1</w:t>
            </w:r>
            <w:r>
              <w:rPr>
                <w:rFonts w:hint="default" w:ascii="Times New Roman" w:hAnsi="Times New Roman" w:cs="Arial" w:eastAsiaTheme="minorEastAsia"/>
                <w:color w:val="000000" w:themeColor="text1"/>
                <w:sz w:val="22"/>
                <w:szCs w:val="24"/>
                <w:lang w:val="en-US" w:eastAsia="zh-CN" w:bidi="ar-SA"/>
                <w14:textFill>
                  <w14:solidFill>
                    <w14:schemeClr w14:val="tx1"/>
                  </w14:solidFill>
                </w14:textFill>
              </w:rPr>
            </w:r>
          </w:p>
        </w:tc>
        <w:tc>
          <w:tcPr>
            <w:shd w:val="clear" w:color="auto" w:fill="auto"/>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eastAsia"/>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9</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112</w:t>
            </w:r>
            <w:r>
              <w:rPr>
                <w:rFonts w:hint="default" w:eastAsiaTheme="minorEastAsia"/>
                <w:color w:val="000000" w:themeColor="text1"/>
                <w:lang w:val="en-US" w:eastAsia="zh-CN"/>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eastAsiaTheme="minorEastAsia"/>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t xml:space="preserve">ZJZ/CX-</w:t>
            </w:r>
            <w:r>
              <w:rPr>
                <w:rFonts w:hint="eastAsia"/>
                <w:color w:val="000000" w:themeColor="text1"/>
                <w:lang w:val="en-US" w:eastAsia="zh-CN"/>
                <w14:textFill>
                  <w14:solidFill>
                    <w14:schemeClr w14:val="tx1"/>
                  </w14:solidFill>
                </w14:textFill>
              </w:rPr>
              <w:t xml:space="preserve">26 样品管理程序 4.4.3</w:t>
            </w:r>
            <w:r>
              <w:rPr>
                <w:rFonts w:hint="default" w:eastAsiaTheme="minorEastAsia"/>
                <w:color w:val="000000" w:themeColor="text1"/>
                <w:lang w:val="en-US" w:eastAsia="zh-CN"/>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修订完善样品保存期限</w:t>
            </w:r>
            <w:r>
              <w:rPr>
                <w:rFonts w:hint="default" w:eastAsiaTheme="minorEastAsia"/>
                <w:color w:val="000000" w:themeColor="text1"/>
                <w:lang w:val="en-US" w:eastAsia="zh-CN"/>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朱宇涵</w:t>
            </w:r>
            <w:r>
              <w:rPr>
                <w:rFonts w:hint="default" w:eastAsiaTheme="minorEastAsia"/>
                <w:color w:val="000000" w:themeColor="text1"/>
                <w:lang w:val="en-US" w:eastAsia="zh-CN"/>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2026.7.21</w:t>
            </w:r>
            <w:r>
              <w:rPr>
                <w:rFonts w:hint="default" w:eastAsiaTheme="minorEastAsia"/>
                <w:color w:val="000000" w:themeColor="text1"/>
                <w:lang w:val="en-US" w:eastAsia="zh-CN"/>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eastAsia"/>
                <w:color w:val="000000" w:themeColor="text1"/>
                <w:lang w:val="en-US" w:eastAsia="zh-CN"/>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10</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ZJZ/CX-24 数据和信息管理程序</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4.3.2与4.3.3序号更换，删除重复内容</w:t>
            </w:r>
            <w:r>
              <w:rPr>
                <w:rFonts w:hint="default" w:eastAsiaTheme="minorEastAsia"/>
                <w:color w:val="000000" w:themeColor="text1"/>
                <w:lang w:val="en-US" w:eastAsia="zh-CN"/>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吕茂山</w:t>
            </w:r>
            <w:r>
              <w:rPr>
                <w:rFonts w:hint="eastAsia" w:eastAsiaTheme="minorEastAsia"/>
                <w:color w:val="000000" w:themeColor="text1"/>
                <w:lang w:val="en-US" w:eastAsia="zh-CN"/>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蒋齐光</w:t>
            </w:r>
            <w:r>
              <w:rPr>
                <w:rFonts w:hint="default"/>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11</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12</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r>
      <w:tr>
        <w:trPr/>
        <w:tc>
          <w:tcPr>
            <w:tcBorders/>
            <w:tcMar>
              <w:left w:w="120" w:type="dxa"/>
              <w:top w:w="60" w:type="dxa"/>
              <w:right w:w="120" w:type="dxa"/>
              <w:bottom w:w="30" w:type="dxa"/>
            </w:tcMar>
            <w:tcW w:w="346"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13</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1"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10"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01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87"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768"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562" w:type="pct"/>
            <w:vAlign w:val="center"/>
            <w:textDirection w:val="lrTb"/>
            <w:noWrap w:val="false"/>
          </w:tcPr>
          <w:p>
            <w:pPr>
              <w:keepNext w:val="false"/>
              <w:keepLines w:val="false"/>
              <w:suppressLineNumbers w:val="false"/>
              <w:pBdr/>
              <w:spacing w:after="0" w:afterAutospacing="0" w:before="0" w:beforeAutospacing="0" w:line="240" w:lineRule="auto"/>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sectPr>
          <w:footerReference w:type="default" r:id="rId17"/>
          <w:footnotePr/>
          <w:endnotePr/>
          <w:type w:val="nextPage"/>
          <w:pgSz w:h="16838" w:orient="portrait" w:w="11906"/>
          <w:pgMar w:top="1440" w:right="1800" w:bottom="1440" w:left="1800" w:header="851" w:footer="992" w:gutter="0"/>
          <w:pgNumType w:start="1"/>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1" w:name="_Toc25905"/>
      <w:r>
        <w:rPr>
          <w:color w:val="000000" w:themeColor="text1"/>
          <w14:textFill>
            <w14:solidFill>
              <w14:schemeClr w14:val="tx1"/>
            </w14:solidFill>
          </w14:textFill>
        </w:rPr>
        <w:t xml:space="preserve">ZJZ/CX-1 维护公正性和诚信性程序</w:t>
      </w:r>
      <w:bookmarkEnd w:id="1"/>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2" w:name="heading_0"/>
      <w:r>
        <w:rPr>
          <w:color w:val="000000" w:themeColor="text1"/>
          <w14:textFill>
            <w14:solidFill>
              <w14:schemeClr w14:val="tx1"/>
            </w14:solidFill>
          </w14:textFill>
        </w:rPr>
        <w:t xml:space="preserve">1. 目的</w:t>
      </w:r>
      <w:bookmarkEnd w:id="2"/>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确保本站所有人员在能力、公正性、判断力以及工作诚实性方面的可信度。</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3" w:name="heading_1"/>
      <w:r>
        <w:rPr>
          <w:color w:val="000000" w:themeColor="text1"/>
          <w14:textFill>
            <w14:solidFill>
              <w14:schemeClr w14:val="tx1"/>
            </w14:solidFill>
          </w14:textFill>
        </w:rPr>
        <w:t xml:space="preserve">2. 适用范围</w:t>
      </w:r>
      <w:bookmarkEnd w:id="3"/>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适用于本站所有人员及与检验检测工作相关的环节。</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4" w:name="heading_2"/>
      <w:r>
        <w:rPr>
          <w:color w:val="000000" w:themeColor="text1"/>
          <w14:textFill>
            <w14:solidFill>
              <w14:schemeClr w14:val="tx1"/>
            </w14:solidFill>
          </w14:textFill>
        </w:rPr>
        <w:t xml:space="preserve">3. 职责</w:t>
      </w:r>
      <w:bookmarkEnd w:id="4"/>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最高管理者：以公开方式对遵纪守法要求、独立公正从业、履行社会责任、严守诚实信用等情况发布公正性声明。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站长：领导本站员工贯彻执行独立性、公正性、保密性、诚实性声明内容，审批违反公正性行为处理意见。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技术负责人：协助站长保证检验检测资源的配置，不断努力提高检验检测技术水平，监督检验检测活动和结果的有效性，贯彻本站的质量方针。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质量负责人：维护质量管理体系文件并保持现行有效，监督管理体系的日常运行情况，不断持续改进和完善管理体系；制定公正性措施，对检测工作的客观公正性进行检查和事件调查，提出违规处理意见。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实验室室主任：组织违规情况调查及整改，并将整改结果报质量负责人。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3.6 检验检测人员：执行独立性、公正性、保密性、诚实性声明要求，客观公正地进行检测工作。</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5" w:name="heading_3"/>
      <w:r>
        <w:rPr>
          <w:color w:val="000000" w:themeColor="text1"/>
          <w14:textFill>
            <w14:solidFill>
              <w14:schemeClr w14:val="tx1"/>
            </w14:solidFill>
          </w14:textFill>
        </w:rPr>
        <w:t xml:space="preserve">4. 程序</w:t>
      </w:r>
      <w:bookmarkEnd w:id="5"/>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bookmarkStart w:id="6" w:name="heading_4"/>
      <w:r>
        <w:rPr>
          <w:color w:val="000000" w:themeColor="text1"/>
          <w14:textFill>
            <w14:solidFill>
              <w14:schemeClr w14:val="tx1"/>
            </w14:solidFill>
          </w14:textFill>
        </w:rPr>
        <w:t xml:space="preserve">4.1 公正性和诚实性声明</w:t>
      </w:r>
      <w:bookmarkEnd w:id="6"/>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为了维护客户的合法权益，保护客户对本站的良好信心。最高管理者发布0.3 独立性、公正性、诚实性、保密性声明，表明本站不从事任何可能影响判断独立性和工作诚实性的活动。本站质量方针、质量目标中提出公正性和诚实性的要求，全面贯彻本站质量方针、目标，确保公正性、诚实性控制的实现。本站向社会、客户做出服务承诺，包括了公正性、诚实性的承诺，接受客户的监督，保证控制要求的实现。</w:t>
      </w:r>
      <w:r>
        <w:rPr>
          <w:color w:val="000000" w:themeColor="text1"/>
          <w14:textFill>
            <w14:solidFill>
              <w14:schemeClr w14:val="tx1"/>
            </w14:solidFill>
          </w14:textFill>
        </w:rPr>
      </w:r>
    </w:p>
    <w:p>
      <w:pPr>
        <w:pBdr/>
        <w:spacing/>
        <w:ind/>
        <w:rPr>
          <w:strike/>
          <w:color w:val="000000" w:themeColor="text1"/>
          <w14:textFill>
            <w14:solidFill>
              <w14:schemeClr w14:val="tx1"/>
            </w14:solidFill>
          </w14:textFill>
        </w:rPr>
      </w:pPr>
      <w:r>
        <w:rPr>
          <w:color w:val="000000" w:themeColor="text1"/>
          <w14:textFill>
            <w14:solidFill>
              <w14:schemeClr w14:val="tx1"/>
            </w14:solidFill>
          </w14:textFill>
        </w:rPr>
        <w:t xml:space="preserve">4.1.2 质量负责人负责编制</w:t>
      </w:r>
      <w:r>
        <w:fldChar w:fldCharType="begin"/>
      </w:r>
      <w:r>
        <w:instrText xml:space="preserve"> HYPERLINK "https://pqsuhhq8yu6.feishu.cn/wiki/P8B3wcpx2icGJHkbkKTcUSyyndg" \h </w:instrText>
      </w:r>
      <w:r>
        <w:fldChar w:fldCharType="separate"/>
      </w:r>
      <w:r>
        <w:rPr>
          <w:color w:val="000000" w:themeColor="text1"/>
          <w14:textFill>
            <w14:solidFill>
              <w14:schemeClr w14:val="tx1"/>
            </w14:solidFill>
          </w14:textFill>
        </w:rPr>
        <w:t xml:space="preserve">0.3 独立性、公正性、诚实性、保密性声明</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，最高管理者审核后在质量手册中发布。</w:t>
      </w:r>
      <w:r>
        <w:rPr>
          <w:strike/>
          <w:color w:val="000000" w:themeColor="text1"/>
          <w14:textFill>
            <w14:solidFill>
              <w14:schemeClr w14:val="tx1"/>
            </w14:solidFill>
          </w14:textFill>
        </w:rPr>
        <w:t xml:space="preserve">综合管理岗负责将其发布在本站的服务网站上，向社会和客户公布。</w:t>
      </w:r>
      <w:r>
        <w:rPr>
          <w:strike/>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当上级组织机构或法人发生变化时，本站向实验检测技术中心综合管理室提出最高管理者的授权变更申请，由上级部门协助办理。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当法律法规要求发生变化时，或内审、管理评审、外部评审等需要对上述文件进行修订时，执行4.1.2。</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bookmarkStart w:id="7" w:name="heading_5"/>
      <w:r>
        <w:rPr>
          <w:color w:val="000000" w:themeColor="text1"/>
          <w14:textFill>
            <w14:solidFill>
              <w14:schemeClr w14:val="tx1"/>
            </w14:solidFill>
          </w14:textFill>
        </w:rPr>
        <w:t xml:space="preserve">4.2 公正性和诚实性的贯彻</w:t>
      </w:r>
      <w:bookmarkEnd w:id="7"/>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本站将公正性、诚实性和质量方针作为全体员工的培训课程，对全体员工进行培训。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全体员工应熟悉、理解和自觉遵守本站的独立性、公正性、保密性、诚实性声明内容和本站质量方针内容，如果在执行过程中发现需要改进、补充内容，可以及时向站长报告，提出合理化建议。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质量负责人编制</w:t>
      </w:r>
      <w:r>
        <w:fldChar w:fldCharType="begin"/>
      </w:r>
      <w:r>
        <w:instrText xml:space="preserve"> HYPERLINK "https://pqsuhhq8yu6.feishu.cn/wiki/JOdewtuBFizcaRkqKFbc59twnbc" \h </w:instrText>
      </w:r>
      <w:r>
        <w:fldChar w:fldCharType="separate"/>
      </w:r>
      <w:r>
        <w:rPr>
          <w:color w:val="000000" w:themeColor="text1"/>
          <w14:textFill>
            <w14:solidFill>
              <w14:schemeClr w14:val="tx1"/>
            </w14:solidFill>
          </w14:textFill>
        </w:rPr>
        <w:t xml:space="preserve">ZJZ/JL 01-1从业承诺书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站长审核后组织全体人员签订，全体人员自我承诺从事的检验检测工作满足公正性和诚实性要求。本站转岗、新进员工在上岗前由综合管理岗及时组织签订从业承诺书。承诺书中明确规定，从事检验检测活动的人员，不得同时在两个及以上检验检测机构从业，也不得参与承检产品/测量设备的研发、生产、监制和有违公正性的商业活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本站设置质量监督员，发挥质量监督作用，对检验检测过程实施监督，形成有效的监督机制，保证公正性、诚实性的实现。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bookmarkStart w:id="8" w:name="heading_6"/>
      <w:r>
        <w:rPr>
          <w:color w:val="000000" w:themeColor="text1"/>
          <w14:textFill>
            <w14:solidFill>
              <w14:schemeClr w14:val="tx1"/>
            </w14:solidFill>
          </w14:textFill>
        </w:rPr>
        <w:t xml:space="preserve">4.3  监督检查</w:t>
      </w:r>
      <w:bookmarkEnd w:id="8"/>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本站管理层、内审员、监督员、安全员等人员均将全体员工的公正性和诚实性作为日常监督检查内容。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如发现相关人员卷入对其技术能力、公证性、诚实性的信任降低的活动中，应及时报告质量负责人，填写</w:t>
      </w:r>
      <w:r>
        <w:fldChar w:fldCharType="begin"/>
      </w:r>
      <w:r>
        <w:instrText xml:space="preserve"> HYPERLINK "https://pqsuhhq8yu6.feishu.cn/wiki/MgykwVA9eiTw0lkLbS7ci4vknXg" \h </w:instrText>
      </w:r>
      <w:r>
        <w:fldChar w:fldCharType="separate"/>
      </w:r>
      <w:r>
        <w:rPr>
          <w:color w:val="000000" w:themeColor="text1"/>
          <w14:textFill>
            <w14:solidFill>
              <w14:schemeClr w14:val="tx1"/>
            </w14:solidFill>
          </w14:textFill>
        </w:rPr>
        <w:t xml:space="preserve">ZJZ/JL01-2违规行为登记表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，质量负责人组织实验室室主任开展调查，根据事件的影响程度作出培训教育、批评帮助、警告或其他行政、司法处置等建议，由最高管理者或站长批准后执行。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违规行为包括：</w:t>
      </w:r>
      <w:r>
        <w:rPr>
          <w:color w:val="000000" w:themeColor="text1"/>
          <w14:textFill>
            <w14:solidFill>
              <w14:schemeClr w14:val="tx1"/>
            </w14:solidFill>
          </w14:textFill>
        </w:rPr>
      </w:r>
    </w:p>
    <w:p>
      <w:pPr>
        <w:pStyle w:val="1996"/>
        <w:numPr>
          <w:ilvl w:val="0"/>
          <w:numId w:val="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检验检测人员介入检验检测样品的研究、开发、设计、制造和有违公正性的商业活动中。</w:t>
      </w:r>
      <w:r>
        <w:rPr>
          <w:color w:val="000000" w:themeColor="text1"/>
          <w14:textFill>
            <w14:solidFill>
              <w14:schemeClr w14:val="tx1"/>
            </w14:solidFill>
          </w14:textFill>
        </w:rPr>
      </w:r>
    </w:p>
    <w:p>
      <w:pPr>
        <w:pStyle w:val="1996"/>
        <w:numPr>
          <w:ilvl w:val="0"/>
          <w:numId w:val="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检验检测人员未能严格按照方法标准、操作规程、实施细则及体系文件管理的要求进行检验检测活动。</w:t>
      </w:r>
      <w:r>
        <w:rPr>
          <w:color w:val="000000" w:themeColor="text1"/>
          <w14:textFill>
            <w14:solidFill>
              <w14:schemeClr w14:val="tx1"/>
            </w14:solidFill>
          </w14:textFill>
        </w:rPr>
      </w:r>
    </w:p>
    <w:p>
      <w:pPr>
        <w:pStyle w:val="1996"/>
        <w:numPr>
          <w:ilvl w:val="0"/>
          <w:numId w:val="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在检验检测活动中，检验检测人员弄虚作假，包括未经检验检测出具报告结果；擅自篡改数据、结果；出具虚假数据和结果；伪造、变造检验检测报告结果等违背公正性和诚信性的行为。</w:t>
      </w:r>
      <w:r>
        <w:rPr>
          <w:color w:val="000000" w:themeColor="text1"/>
          <w14:textFill>
            <w14:solidFill>
              <w14:schemeClr w14:val="tx1"/>
            </w14:solidFill>
          </w14:textFill>
        </w:rPr>
      </w:r>
    </w:p>
    <w:p>
      <w:pPr>
        <w:pStyle w:val="1996"/>
        <w:numPr>
          <w:ilvl w:val="0"/>
          <w:numId w:val="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员工向社会推荐产品，开展产品监制、监销等违法违规行为；或以广告或其他形式向消费者推荐检验检测的产品。</w:t>
      </w:r>
      <w:r>
        <w:rPr>
          <w:color w:val="000000" w:themeColor="text1"/>
          <w14:textFill>
            <w14:solidFill>
              <w14:schemeClr w14:val="tx1"/>
            </w14:solidFill>
          </w14:textFill>
        </w:rPr>
      </w:r>
    </w:p>
    <w:p>
      <w:pPr>
        <w:pStyle w:val="1996"/>
        <w:numPr>
          <w:ilvl w:val="0"/>
          <w:numId w:val="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其他违反本站公正性和诚信性的行为。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bookmarkStart w:id="9" w:name="heading_7"/>
      <w:r>
        <w:rPr>
          <w:color w:val="000000" w:themeColor="text1"/>
          <w14:textFill>
            <w14:solidFill>
              <w14:schemeClr w14:val="tx1"/>
            </w14:solidFill>
          </w14:textFill>
        </w:rPr>
        <w:t xml:space="preserve">4.4 检验检测能力的保证</w:t>
      </w:r>
      <w:bookmarkEnd w:id="9"/>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w:t>
      </w:r>
      <w:r>
        <w:rPr>
          <w:color w:val="000000" w:themeColor="text1"/>
          <w:highlight w:val="yellow"/>
          <w14:textFill>
            <w14:solidFill>
              <w14:schemeClr w14:val="tx1"/>
            </w14:solidFill>
          </w14:textFill>
        </w:rPr>
        <w:t xml:space="preserve">本站的质量体系运行符合</w:t>
      </w:r>
      <w:r>
        <w:rPr>
          <w:rFonts w:hint="eastAsia"/>
          <w:highlight w:val="yellow"/>
        </w:rPr>
        <w:t xml:space="preserve">《检验检测机构资质认定管理办法》</w:t>
      </w:r>
      <w:r>
        <w:rPr>
          <w:rFonts w:hint="eastAsia"/>
          <w:spacing w:val="-40"/>
          <w:highlight w:val="yellow"/>
        </w:rPr>
        <w:t xml:space="preserve">、《检</w:t>
      </w:r>
      <w:r>
        <w:rPr>
          <w:highlight w:val="yellow"/>
        </w:rPr>
        <w:t xml:space="preserve"> </w:t>
      </w:r>
      <w:r>
        <w:rPr>
          <w:rFonts w:hint="eastAsia"/>
          <w:spacing w:val="3"/>
          <w:highlight w:val="yellow"/>
        </w:rPr>
        <w:t xml:space="preserve">验检测机构资质认定评审准则》</w:t>
      </w:r>
      <w:r>
        <w:rPr>
          <w:color w:val="000000" w:themeColor="text1"/>
          <w:highlight w:val="yellow"/>
          <w14:textFill>
            <w14:solidFill>
              <w14:schemeClr w14:val="tx1"/>
            </w14:solidFill>
          </w14:textFill>
        </w:rPr>
        <w:t xml:space="preserve">和应用说明、应用要求等相关文件及相关法律法规、政策、规则、制度及管理办法的要求，严格遵守检验检测的工作程序。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检验检测人员应严格按照标准、作业指导书的规定开展检验检测活动，保证不未经检验检测出具报告结果；不擅自篡改数据、结果；不出具不实、虚假数据和结果；不伪造、变造检验检测报告结果，对本人出具的检验检测数据、结果负法律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最高管理者和站长应经常听取技术负责人关于本站技术资源配置和检验检测能力的情况， 并对存在的问题和纠正、改进的措施提出要求。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对技术资源配置和检验检测能力中存在的问题， 站长应给予积极协调和解决， 对纠正和改进计划和活动中出现的延迟给予积极负责的解决。</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4.4.5 最高管理者应经常召集技术负责人和质量负责人研究管理体系内部审核和评审的情况， 推进管理体系运行的水平，始终保持管理体系的符合性、有效性和适应性。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4.4.6 质量负责人应经常保持与最高管理者的沟通，负责连续跟踪资质认定、认可有关要求， 及时反映管理体系建设和运行中存在的实际问题， 积极协助最高管理者维护本站管理体系的完整性、符合性、有效性和适应性。</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10" w:name="heading_8"/>
      <w:r>
        <w:rPr>
          <w:color w:val="000000" w:themeColor="text1"/>
          <w14:textFill>
            <w14:solidFill>
              <w14:schemeClr w14:val="tx1"/>
            </w14:solidFill>
          </w14:textFill>
        </w:rPr>
        <w:t xml:space="preserve">5. 支持文件</w:t>
      </w:r>
      <w:bookmarkEnd w:id="10"/>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"https://pqsuhhq8yu6.feishu.cn/wiki/P8B3wcpx2icGJHkbkKTcUSyyndg" \h </w:instrText>
      </w:r>
      <w:r>
        <w:fldChar w:fldCharType="separate"/>
      </w:r>
      <w:r>
        <w:rPr>
          <w:color w:val="000000" w:themeColor="text1"/>
          <w14:textFill>
            <w14:solidFill>
              <w14:schemeClr w14:val="tx1"/>
            </w14:solidFill>
          </w14:textFill>
        </w:rPr>
        <w:t xml:space="preserve">0.3 独立性、公正性、诚实性、保密性声明</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"https://pqsuhhq8yu6.feishu.cn/wiki/QWFEwoQwNiU56LksTjdcoB7YnIV" \h </w:instrText>
      </w:r>
      <w:r>
        <w:fldChar w:fldCharType="separate"/>
      </w:r>
      <w:r>
        <w:rPr>
          <w:color w:val="000000" w:themeColor="text1"/>
          <w14:textFill>
            <w14:solidFill>
              <w14:schemeClr w14:val="tx1"/>
            </w14:solidFill>
          </w14:textFill>
        </w:rPr>
        <w:t xml:space="preserve">检验检测机构资质认定管理办法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"https://pqsuhhq8yu6.feishu.cn/wiki/TVUWwo6LziUuK0kKnk0cX2Nznsf" \h </w:instrText>
      </w:r>
      <w:r>
        <w:fldChar w:fldCharType="separate"/>
      </w:r>
      <w:r>
        <w:rPr>
          <w:color w:val="000000" w:themeColor="text1"/>
          <w14:textFill>
            <w14:solidFill>
              <w14:schemeClr w14:val="tx1"/>
            </w14:solidFill>
          </w14:textFill>
        </w:rPr>
        <w:t xml:space="preserve">检验检测机构资质认定评审准则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"https://pqsuhhq8yu6.feishu.cn/wiki/N0d2wUb8qiJMlkk0oAYcJoGxnRb" \h </w:instrText>
      </w:r>
      <w:r>
        <w:fldChar w:fldCharType="separate"/>
      </w:r>
      <w:r>
        <w:rPr>
          <w:color w:val="000000" w:themeColor="text1"/>
          <w14:textFill>
            <w14:solidFill>
              <w14:schemeClr w14:val="tx1"/>
            </w14:solidFill>
          </w14:textFill>
        </w:rPr>
        <w:t xml:space="preserve">RB/T 214-2017 检验检测机构资质认定能力评价 检验检测机构通用要求</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11" w:name="heading_9"/>
      <w:r>
        <w:rPr>
          <w:color w:val="000000" w:themeColor="text1"/>
          <w14:textFill>
            <w14:solidFill>
              <w14:schemeClr w14:val="tx1"/>
            </w14:solidFill>
          </w14:textFill>
        </w:rPr>
        <w:t xml:space="preserve">6. 记录</w:t>
      </w:r>
      <w:bookmarkEnd w:id="11"/>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"https://pqsuhhq8yu6.feishu.cn/wiki/JOdewtuBFizcaRkqKFbc59twnbc" \h </w:instrText>
      </w:r>
      <w:r>
        <w:fldChar w:fldCharType="separate"/>
      </w:r>
      <w:r>
        <w:rPr>
          <w:color w:val="000000" w:themeColor="text1"/>
          <w14:textFill>
            <w14:solidFill>
              <w14:schemeClr w14:val="tx1"/>
            </w14:solidFill>
          </w14:textFill>
        </w:rPr>
        <w:t xml:space="preserve">ZJZ/JL01-1从业承诺书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"https://pqsuhhq8yu6.feishu.cn/wiki/MgykwVA9eiTw0lkLbS7ci4vknXg" \h </w:instrText>
      </w:r>
      <w:r>
        <w:fldChar w:fldCharType="separate"/>
      </w:r>
      <w:r>
        <w:rPr>
          <w:color w:val="000000" w:themeColor="text1"/>
          <w14:textFill>
            <w14:solidFill>
              <w14:schemeClr w14:val="tx1"/>
            </w14:solidFill>
          </w14:textFill>
        </w:rPr>
        <w:t xml:space="preserve">ZJZ/JL01-2违规行为登记表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erReference w:type="default" r:id="rId18"/>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12" w:name="_Toc28481"/>
      <w:r>
        <w:rPr>
          <w:color w:val="000000" w:themeColor="text1"/>
          <w14:textFill>
            <w14:solidFill>
              <w14:schemeClr w14:val="tx1"/>
            </w14:solidFill>
          </w14:textFill>
        </w:rPr>
        <w:t xml:space="preserve">ZJZ/CX-2 保护客户秘密和所有权程序</w:t>
      </w:r>
      <w:bookmarkEnd w:id="12"/>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为了保护国家秘密，维护客户利益，保护本单位及客户的商业秘密、技术秘密和所有权，特制定本程序。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适用本站的涉密资料和检验检测样品、检验检测过程中产生的所有数据、检验检测报告以及客户委托的技术资料（包括以电子方式储存、传输的检验检测结果信息）的保密与所有权的保护。</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站长：落实保护客户机密信息和所有权的各项措施所需的资源和责任人，并就保密性作出公开承诺。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技术总监/副站长：对分管业务范围内的涉密资料和检验检测活动保密与所有权的保护负主要领导责任。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质量负责人：组织保密相关内容培训，组织制定各项保密措施并组织实施和监督检查，批准借阅保密资料，监督纠正措施和预防措施中存在的反应延迟等问题，对监督检查中发现的问题及时向站长报告，负责维护本文件的有效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实验室室主任：对本室涉密资料和检验检测活动保密与所有权的保护负直接管理责任。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样品管理员：对客户的检验检测样品及其技术资料的保密负责。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3.6 资料管理员：对客户检验检测数据、资料、结果报告及涉及的其他保密资料的保密负责。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3.7 检验检测人员：对检验检测过程中数据、流程、技术及涉及的其他保密资料的保密负责。</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w:t>
      </w:r>
      <w:r>
        <w:rPr>
          <w:b/>
          <w:color w:val="000000" w:themeColor="text1"/>
          <w14:textFill>
            <w14:solidFill>
              <w14:schemeClr w14:val="tx1"/>
            </w14:solidFill>
          </w14:textFill>
        </w:rPr>
        <w:t xml:space="preserve">保密范围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保密范围包括国家秘密、商业秘密、技术秘密。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国家秘密是指关系国家的安全和利益，依照法定程序确定，在一定时间内只限一定范围的人员知悉的事项。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商业秘密主要包括：实物地质资料（包括岩心岩屑及其相关设计、数据图表等），客户提供的样品及技术资料等，检验检测过程中涉及的数据、流程、技术、结果报告、相关的井位坐标、地质图件等，知识产权成果（包括但不限于专利、论文、对外交流材料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本站全员签订</w:t>
      </w:r>
      <w:r>
        <w:fldChar w:fldCharType="begin"/>
      </w:r>
      <w:r>
        <w:instrText xml:space="preserve"> HYPERLINK "https://pqsuhhq8yu6.feishu.cn/wiki/LW6cwFWJViJmVSkY25GcCq8HnSb" \h </w:instrText>
      </w:r>
      <w:r>
        <w:fldChar w:fldCharType="separate"/>
      </w:r>
      <w:r>
        <w:rPr>
          <w:color w:val="000000" w:themeColor="text1"/>
          <w14:textFill>
            <w14:solidFill>
              <w14:schemeClr w14:val="tx1"/>
            </w14:solidFill>
          </w14:textFill>
        </w:rPr>
        <w:t xml:space="preserve">ZJZ/JL02-1保密承诺书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，对在实施实验室活动过程中获得或产生的所有信息保密，法律要求除外。未经客户同意不得将要求保密的结果及有关技术资料提供给他人。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样品和技术资料的保密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在接受客户的检验检测任务时，样品管理员应向客户详细询问对样品及技术资料的保密要求并根据客户的要求，记录委托人提交的所有样品、附件、技术资料和其它随带物品，客户有特殊要求时，样品管理员应按照客户的保密要求存放技术资料和样品。若需进行保密时，须详细记录在</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上，并在下达任务时在</w:t>
      </w:r>
      <w:r>
        <w:fldChar w:fldCharType="begin"/>
      </w:r>
      <w:r>
        <w:instrText xml:space="preserve"> HYPERLINK "https://pqsuhhq8yu6.feishu.cn/wiki/Nh1Ow6G3mipJHJkQk3GcA3eFnve" \h </w:instrText>
      </w:r>
      <w:r>
        <w:fldChar w:fldCharType="separate"/>
      </w:r>
      <w:r>
        <w:rPr>
          <w:color w:val="000000" w:themeColor="text1"/>
          <w14:textFill>
            <w14:solidFill>
              <w14:schemeClr w14:val="tx1"/>
            </w14:solidFill>
          </w14:textFill>
        </w:rPr>
        <w:t xml:space="preserve">ZJZ/JL26-1生产任务单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上注明，确保相关人员知晓。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样品管理员在与客户完成样品以及技术资料的登记和交接后，双方应在委托单上签署交接人的姓名，在客户取回样品和技术资料之前， 接收人应对此期间的保密承担责任。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样品登记后，样品管理员把样品放入专用样品间，样品登记信息由样品管理员专人保管，信息不得随意外泄。如油田化学剂样品间是对钻井液助剂产品保密的场所，除样品管理员外，未经允许其他人员不得入内。出入油田化学剂库房应填写出入库记录表。综合管理室应经常对保密场所进行检查。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综合管理室对样品、技术文件和资料的完整性负责， 在与专业实验室交接时，要对样品、技术文件、资料进行认真清点和登记。传递中的接收人应按照本站的保密要求和规定保管检验检测样品及其技术资料。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对客户有特殊保密要求的样品，应根据客户的特殊要求，样品管理员及时向质量负责人汇报，并由质量负责人作出相应安排，包括样品的接收、流转、贮存、处置及附件资料的管理，采取安全防护措施，保证样品的完好性和检验检测数据的机密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检验检测人员做好对检验检测样品、技术文件和资料的保密工作，检验检测人员将检测中的样品、检测后的样品按照规定放入待检、已检、备样区，样品处置执行</w:t>
      </w:r>
      <w:r>
        <w:fldChar w:fldCharType="begin"/>
      </w:r>
      <w:r>
        <w:instrText xml:space="preserve"> HYPERLINK "https://pqsuhhq8yu6.feishu.cn/wiki/EwoTwFjyUikY5nk3rgac0xqGnkc" \h </w:instrText>
      </w:r>
      <w:r>
        <w:fldChar w:fldCharType="separate"/>
      </w:r>
      <w:r>
        <w:rPr>
          <w:color w:val="000000" w:themeColor="text1"/>
          <w14:textFill>
            <w14:solidFill>
              <w14:schemeClr w14:val="tx1"/>
            </w14:solidFill>
          </w14:textFill>
        </w:rPr>
        <w:t xml:space="preserve">ZJZ/CX-26 样品管理程序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。流转过程中填写</w:t>
      </w:r>
      <w:r>
        <w:fldChar w:fldCharType="begin"/>
      </w:r>
      <w:r>
        <w:instrText xml:space="preserve"> HYPERLINK "https://pqsuhhq8yu6.feishu.cn/wiki/NbObwb8N7imac4kd4mxc9PnfnSc" \h </w:instrText>
      </w:r>
      <w:r>
        <w:fldChar w:fldCharType="separate"/>
      </w:r>
      <w:r>
        <w:rPr>
          <w:color w:val="000000" w:themeColor="text1"/>
          <w14:textFill>
            <w14:solidFill>
              <w14:schemeClr w14:val="tx1"/>
            </w14:solidFill>
          </w14:textFill>
        </w:rPr>
        <w:t xml:space="preserve">ZJZ/JL 26-2 样品流转单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。检验检测后样品及技术资料应及时返回综合管理室，由综合管理室按照客户的保密要求处置和保存。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各专业实验室严格按与客户签定的协议或有关规定进行样品的检验、贮存和处置，对客户的样品、附件及有关信息负保密责任。备样在留样期内未经批准不得用于研发或以任何理由挪作他用。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highlight w:val="yellow"/>
          <w14:textFill>
            <w14:solidFill>
              <w14:schemeClr w14:val="tx1"/>
            </w14:solidFill>
          </w14:textFill>
        </w:rPr>
        <w:t xml:space="preserve">4.2.8 实验检测员在采样、样品流转、留样过程按</w:t>
      </w:r>
      <w:r>
        <w:fldChar w:fldCharType="begin"/>
      </w:r>
      <w:r>
        <w:instrText xml:space="preserve"> HYPERLINK "https://pqsuhhq8yu6.feishu.cn/wiki/EwoTwFjyUikY5nk3rgac0xqGnkc" \h </w:instrText>
      </w:r>
      <w:r>
        <w:fldChar w:fldCharType="separate"/>
      </w:r>
      <w:r>
        <w:fldChar w:fldCharType="begin"/>
      </w:r>
      <w:r>
        <w:instrText xml:space="preserve"> HYPERLINK "https://pqsuhhq8yu6.feishu.cn/wiki/JOdewtuBFizcaRkqKFbc59twnbc" \h </w:instrText>
      </w:r>
      <w:r>
        <w:fldChar w:fldCharType="separate"/>
      </w:r>
      <w:r>
        <w:rPr>
          <w:color w:val="000000" w:themeColor="text1"/>
          <w:highlight w:val="yellow"/>
          <w14:textFill>
            <w14:solidFill>
              <w14:schemeClr w14:val="tx1"/>
            </w14:solidFill>
          </w14:textFill>
        </w:rPr>
        <w:t xml:space="preserve">ZJZ/CX-26</w:t>
      </w:r>
      <w:r>
        <w:rPr>
          <w:color w:val="000000" w:themeColor="text1"/>
          <w:highlight w:val="yellow"/>
          <w14:textFill>
            <w14:solidFill>
              <w14:schemeClr w14:val="tx1"/>
            </w14:solidFill>
          </w14:textFill>
        </w:rPr>
        <w:fldChar w:fldCharType="end"/>
      </w:r>
      <w:r>
        <w:rPr>
          <w:color w:val="000000" w:themeColor="text1"/>
          <w:highlight w:val="yellow"/>
          <w14:textFill>
            <w14:solidFill>
              <w14:schemeClr w14:val="tx1"/>
            </w14:solidFill>
          </w14:textFill>
        </w:rPr>
        <w:t xml:space="preserve">样品管理程序</w:t>
      </w:r>
      <w:r>
        <w:rPr>
          <w:color w:val="000000" w:themeColor="text1"/>
          <w:highlight w:val="yellow"/>
          <w14:textFill>
            <w14:solidFill>
              <w14:schemeClr w14:val="tx1"/>
            </w14:solidFill>
          </w14:textFill>
        </w:rPr>
        <w:fldChar w:fldCharType="end"/>
      </w:r>
      <w:r>
        <w:rPr>
          <w:color w:val="000000" w:themeColor="text1"/>
          <w:highlight w:val="yellow"/>
          <w14:textFill>
            <w14:solidFill>
              <w14:schemeClr w14:val="tx1"/>
            </w14:solidFill>
          </w14:textFill>
        </w:rPr>
        <w:t xml:space="preserve">执行，确保样品信息不泄露。</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需借阅与客户有关的技术文件、原始记录、结果报告、档案资料时，填写</w:t>
      </w:r>
      <w:r>
        <w:fldChar w:fldCharType="begin"/>
      </w:r>
      <w:r>
        <w:instrText xml:space="preserve"> HYPERLINK "https://pqsuhhq8yu6.feishu.cn/wiki/RjWawp9aziyBghkAs2FcxHDjnlg" \h </w:instrText>
      </w:r>
      <w:r>
        <w:fldChar w:fldCharType="separate"/>
      </w:r>
      <w:r>
        <w:rPr>
          <w:color w:val="000000" w:themeColor="text1"/>
          <w14:textFill>
            <w14:solidFill>
              <w14:schemeClr w14:val="tx1"/>
            </w14:solidFill>
          </w14:textFill>
        </w:rPr>
        <w:t xml:space="preserve">ZJZ/JL10-5体系文件借阅登记表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，借阅者应在规定的期限内归还。到期不归还者，资料管理员有权收回。</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4.2.10 在确保其他客户机密信息的前提下，允许客户监视与其相关的现场检验检测和资料。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4.2.11 各专业实验室技术资料应按规定期限妥善保存，如需销毁，执行</w:t>
      </w:r>
      <w:r>
        <w:fldChar w:fldCharType="begin"/>
      </w:r>
      <w:r>
        <w:instrText xml:space="preserve"> HYPERLINK "https://pqsuhhq8yu6.feishu.cn/wiki/YWM6wEJA0iWHdrkFvHqczfBnnKc" \h </w:instrText>
      </w:r>
      <w:r>
        <w:fldChar w:fldCharType="separate"/>
      </w:r>
      <w:r>
        <w:fldChar w:fldCharType="begin"/>
      </w:r>
      <w:r>
        <w:instrText xml:space="preserve"> HYPERLINK "https://pqsuhhq8yu6.feishu.cn/wiki/EwoTwFjyUikY5nk3rgac0xqGnkc" \h </w:instrText>
      </w:r>
      <w:r>
        <w:fldChar w:fldCharType="separate"/>
      </w:r>
      <w:r>
        <w:fldChar w:fldCharType="begin"/>
      </w:r>
      <w:r>
        <w:instrText xml:space="preserve"> HYPERLINK "https://pqsuhhq8yu6.feishu.cn/wiki/JOdewtuBFizcaRkqKFbc59twnbc" \h </w:instrText>
      </w:r>
      <w:r>
        <w:fldChar w:fldCharType="separate"/>
      </w:r>
      <w:r>
        <w:rPr>
          <w:color w:val="000000" w:themeColor="text1"/>
          <w:highlight w:val="yellow"/>
          <w14:textFill>
            <w14:solidFill>
              <w14:schemeClr w14:val="tx1"/>
            </w14:solidFill>
          </w14:textFill>
        </w:rPr>
        <w:t xml:space="preserve">ZJZ/CX-10</w:t>
      </w:r>
      <w:r>
        <w:rPr>
          <w:color w:val="000000" w:themeColor="text1"/>
          <w:highlight w:val="yellow"/>
          <w14:textFill>
            <w14:solidFill>
              <w14:schemeClr w14:val="tx1"/>
            </w14:solidFill>
          </w14:textFill>
        </w:rPr>
        <w:fldChar w:fldCharType="end"/>
      </w:r>
      <w:r>
        <w:fldChar w:fldCharType="end"/>
      </w:r>
      <w:r>
        <w:rPr>
          <w:color w:val="000000" w:themeColor="text1"/>
          <w:highlight w:val="yellow"/>
          <w14:textFill>
            <w14:solidFill>
              <w14:schemeClr w14:val="tx1"/>
            </w14:solidFill>
          </w14:textFill>
        </w:rPr>
        <w:t xml:space="preserve">文件控制和维护程序</w:t>
      </w:r>
      <w:r>
        <w:rPr>
          <w:color w:val="000000" w:themeColor="text1"/>
          <w:highlight w:val="yellow"/>
          <w14:textFill>
            <w14:solidFill>
              <w14:schemeClr w14:val="tx1"/>
            </w14:solidFill>
          </w14:textFill>
        </w:rPr>
        <w:fldChar w:fldCharType="end"/>
      </w:r>
      <w:r>
        <w:rPr>
          <w:color w:val="000000" w:themeColor="text1"/>
          <w:highlight w:val="yellow"/>
          <w14:textFill>
            <w14:solidFill>
              <w14:schemeClr w14:val="tx1"/>
            </w14:solidFill>
          </w14:textFill>
        </w:rPr>
        <w:t xml:space="preserve">的销毁条款。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检验检测过程的保密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在检验检测过程中，检验检测样品按照规定放入已测区、待测区，样品处置执行</w:t>
      </w:r>
      <w:r>
        <w:fldChar w:fldCharType="begin"/>
      </w:r>
      <w:r>
        <w:instrText xml:space="preserve"> HYPERLINK "https://pqsuhhq8yu6.feishu.cn/wiki/EwoTwFjyUikY5nk3rgac0xqGnkc" \h </w:instrText>
      </w:r>
      <w:r>
        <w:fldChar w:fldCharType="separate"/>
      </w:r>
      <w:r>
        <w:fldChar w:fldCharType="begin"/>
      </w:r>
      <w:r>
        <w:instrText xml:space="preserve"> HYPERLINK "https://pqsuhhq8yu6.feishu.cn/wiki/JOdewtuBFizcaRkqKFbc59twnbc" \h </w:instrText>
      </w:r>
      <w:r>
        <w:fldChar w:fldCharType="separate"/>
      </w:r>
      <w:r>
        <w:rPr>
          <w:color w:val="000000" w:themeColor="text1"/>
          <w:highlight w:val="yellow"/>
          <w14:textFill>
            <w14:solidFill>
              <w14:schemeClr w14:val="tx1"/>
            </w14:solidFill>
          </w14:textFill>
        </w:rPr>
        <w:t xml:space="preserve">ZJZ/CX-26</w:t>
      </w:r>
      <w:r>
        <w:rPr>
          <w:color w:val="000000" w:themeColor="text1"/>
          <w:highlight w:val="yellow"/>
          <w14:textFill>
            <w14:solidFill>
              <w14:schemeClr w14:val="tx1"/>
            </w14:solidFill>
          </w14:textFill>
        </w:rPr>
        <w:fldChar w:fldCharType="end"/>
      </w:r>
      <w:r>
        <w:rPr>
          <w:color w:val="000000" w:themeColor="text1"/>
          <w:highlight w:val="yellow"/>
          <w14:textFill>
            <w14:solidFill>
              <w14:schemeClr w14:val="tx1"/>
            </w14:solidFill>
          </w14:textFill>
        </w:rPr>
        <w:t xml:space="preserve">样品管理程序</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t xml:space="preserve">。未征得客户同意情况下，技术工作人员不得剖析客户送检样品，侵犯客户的知识产权。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检验检测各岗位对检验检测过程中涉及的数据、流程、技术、结果报告、相关的井位坐标、地质图件等负保密责任。对上述资料不得外泄、遗失丢弃。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电子资料的保密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当客户要求用电子和电磁设备方式保存检验检测结果或以电话、电传、图文传真及其他电子和电磁设备传送检验检测结果时，资料管理员需验证客户身份信息无误后按照约定方式传输，填写</w:t>
      </w:r>
      <w:r>
        <w:fldChar w:fldCharType="begin"/>
      </w:r>
      <w:r>
        <w:instrText xml:space="preserve"> HYPERLINK "https://pqsuhhq8yu6.feishu.cn/wiki/QlSpwfBUXi9bljk80FCcXkUFntb" \h </w:instrText>
      </w:r>
      <w:r>
        <w:fldChar w:fldCharType="separate"/>
      </w:r>
      <w:r>
        <w:rPr>
          <w:color w:val="000000" w:themeColor="text1"/>
          <w14:textFill>
            <w14:solidFill>
              <w14:schemeClr w14:val="tx1"/>
            </w14:solidFill>
          </w14:textFill>
        </w:rPr>
        <w:t xml:space="preserve">ZJZ/JL29-1检验/检测报告发放登记</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备注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中记录接收人员联系方式。电子化检验检测报告采用PDF格式或图片格式传输。</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对于使用实验分析系统产生的电子报告，由西北油田分公司服务器进行统一存档，实时备份。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知识产权的保密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本站涉及的专利、论文、对外交流材料在发表或公布前，须通过油田公司科技管理平台进行保密审查，其他成果资料由中心技术负责人进行保密审查。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保密资料的销毁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保密资料应按规定期限妥善保存，如需销毁，各岗位将需要销毁的资料统一交资料管理员，由中心综合管理室企业管理岗审核后送交档案馆处置。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bookmarkStart w:id="13" w:name="heading_10"/>
      <w:r>
        <w:rPr>
          <w:color w:val="000000" w:themeColor="text1"/>
          <w14:textFill>
            <w14:solidFill>
              <w14:schemeClr w14:val="tx1"/>
            </w14:solidFill>
          </w14:textFill>
        </w:rPr>
        <w:t xml:space="preserve">4.7 </w:t>
      </w:r>
      <w:r>
        <w:rPr>
          <w:b/>
          <w:color w:val="000000" w:themeColor="text1"/>
          <w14:textFill>
            <w14:solidFill>
              <w14:schemeClr w14:val="tx1"/>
            </w14:solidFill>
          </w14:textFill>
        </w:rPr>
        <w:t xml:space="preserve">保密检查</w:t>
      </w:r>
      <w:bookmarkEnd w:id="13"/>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负责人负责保密制度的宣贯及保密工作的动态检查。如发现违反保密规定的泄密行为或损害顾客所有权的，上报最高管理者，由最高管理者组织调查，视其情节给予批评教育或行政处罚。情节严重、触及有关法律法规者，由司法机关予以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bookmarkStart w:id="14" w:name="heading_11"/>
      <w:r>
        <w:rPr>
          <w:color w:val="000000" w:themeColor="text1"/>
          <w14:textFill>
            <w14:solidFill>
              <w14:schemeClr w14:val="tx1"/>
            </w14:solidFill>
          </w14:textFill>
        </w:rPr>
        <w:t xml:space="preserve">4.8 保护客户的专利权和所有权</w:t>
      </w:r>
      <w:bookmarkEnd w:id="14"/>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4.8.1 本站承诺保护客户的专利权和所有权。对客户提交的检验检测样品和技术资料未经客户的书面允许不得对样品和技术资料进行复印、拍照、录像或带离工作区域，不允许与检验检测无关的人员参观。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4.8.2 本站出具的检验检测报告的所有权属客户，未经客户书面同意，本</w:t>
      </w:r>
      <w:r>
        <w:rPr>
          <w:rFonts w:hint="eastAsia"/>
          <w:color w:val="000000" w:themeColor="text1"/>
          <w14:textFill>
            <w14:solidFill>
              <w14:schemeClr w14:val="tx1"/>
            </w14:solidFill>
          </w14:textFill>
        </w:rPr>
        <w:t xml:space="preserve">站</w:t>
      </w:r>
      <w:r>
        <w:rPr>
          <w:color w:val="000000" w:themeColor="text1"/>
          <w14:textFill>
            <w14:solidFill>
              <w14:schemeClr w14:val="tx1"/>
            </w14:solidFill>
          </w14:textFill>
        </w:rPr>
        <w:t xml:space="preserve">承诺不公开和复制检验检测结果，不引用检验检测数据，不用于本站和其他地方的科研与开发。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4.8.3 本站向客户出具的检验检测报告的著作权属本站，未经本站书面许可，客户不得部分复制检验检测报告和部分引用检验检测数据或结果（全文复制和引用除外）,否则本站将视为客户侵害了本站检验检测数据的著作权。</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15" w:name="heading_12"/>
      <w:r>
        <w:rPr>
          <w:color w:val="000000" w:themeColor="text1"/>
          <w14:textFill>
            <w14:solidFill>
              <w14:schemeClr w14:val="tx1"/>
            </w14:solidFill>
          </w14:textFill>
        </w:rPr>
        <w:t xml:space="preserve">5. 支持文件</w:t>
      </w:r>
      <w:bookmarkEnd w:id="15"/>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10.文件控制和维护程序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"https://pqsuhhq8yu6.feishu.cn/wiki/EwoTwFjyUikY5nk3rgac0xqGnkc" \h </w:instrText>
      </w:r>
      <w:r>
        <w:fldChar w:fldCharType="separate"/>
      </w:r>
      <w:r>
        <w:rPr>
          <w:color w:val="000000" w:themeColor="text1"/>
          <w14:textFill>
            <w14:solidFill>
              <w14:schemeClr w14:val="tx1"/>
            </w14:solidFill>
          </w14:textFill>
        </w:rPr>
        <w:t xml:space="preserve">26.样品管理程序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16" w:name="heading_13"/>
      <w:r>
        <w:rPr>
          <w:color w:val="000000" w:themeColor="text1"/>
          <w14:textFill>
            <w14:solidFill>
              <w14:schemeClr w14:val="tx1"/>
            </w14:solidFill>
          </w14:textFill>
        </w:rPr>
        <w:t xml:space="preserve">6. 记录</w:t>
      </w:r>
      <w:bookmarkEnd w:id="16"/>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"https://pqsuhhq8yu6.feishu.cn/wiki/LW6cwFWJViJmVSkY25GcCq8HnSb" \h </w:instrText>
      </w:r>
      <w:r>
        <w:fldChar w:fldCharType="separate"/>
      </w:r>
      <w:r>
        <w:rPr>
          <w:color w:val="000000" w:themeColor="text1"/>
          <w14:textFill>
            <w14:solidFill>
              <w14:schemeClr w14:val="tx1"/>
            </w14:solidFill>
          </w14:textFill>
        </w:rPr>
        <w:t xml:space="preserve">ZJZ/JL02-1保密承诺书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"https://pqsuhhq8yu6.feishu.cn/wiki/Nh1Ow6G3mipJHJkQk3GcA3eFnve" \h </w:instrText>
      </w:r>
      <w:r>
        <w:fldChar w:fldCharType="separate"/>
      </w:r>
      <w:r>
        <w:rPr>
          <w:color w:val="000000" w:themeColor="text1"/>
          <w14:textFill>
            <w14:solidFill>
              <w14:schemeClr w14:val="tx1"/>
            </w14:solidFill>
          </w14:textFill>
        </w:rPr>
        <w:t xml:space="preserve">ZJZ/JL26-1生产任务单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"https://pqsuhhq8yu6.feishu.cn/wiki/NbObwb8N7imac4kd4mxc9PnfnSc" \h </w:instrText>
      </w:r>
      <w:r>
        <w:fldChar w:fldCharType="separate"/>
      </w:r>
      <w:r>
        <w:rPr>
          <w:color w:val="000000" w:themeColor="text1"/>
          <w14:textFill>
            <w14:solidFill>
              <w14:schemeClr w14:val="tx1"/>
            </w14:solidFill>
          </w14:textFill>
        </w:rPr>
        <w:t xml:space="preserve">ZJZ/JL 26-2 样品流转单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"https://pqsuhhq8yu6.feishu.cn/wiki/RjWawp9aziyBghkAs2FcxHDjnlg" \h </w:instrText>
      </w:r>
      <w:r>
        <w:fldChar w:fldCharType="separate"/>
      </w:r>
      <w:r>
        <w:rPr>
          <w:color w:val="000000" w:themeColor="text1"/>
          <w14:textFill>
            <w14:solidFill>
              <w14:schemeClr w14:val="tx1"/>
            </w14:solidFill>
          </w14:textFill>
        </w:rPr>
        <w:t xml:space="preserve">ZJZ/JL10-5体系文件借阅登记表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"https://pqsuhhq8yu6.feishu.cn/wiki/QlSpwfBUXi9bljk80FCcXkUFntb" \h </w:instrText>
      </w:r>
      <w:r>
        <w:fldChar w:fldCharType="separate"/>
      </w:r>
      <w:r>
        <w:rPr>
          <w:color w:val="000000" w:themeColor="text1"/>
          <w14:textFill>
            <w14:solidFill>
              <w14:schemeClr w14:val="tx1"/>
            </w14:solidFill>
          </w14:textFill>
        </w:rPr>
        <w:t xml:space="preserve">ZJZ/JL 29-1 检验/检测报告发放登记</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17" w:name="_Toc30229"/>
      <w:r>
        <w:rPr>
          <w:color w:val="000000" w:themeColor="text1"/>
          <w14:textFill>
            <w14:solidFill>
              <w14:schemeClr w14:val="tx1"/>
            </w14:solidFill>
          </w14:textFill>
        </w:rPr>
        <w:t xml:space="preserve">ZJZ/CX-3 人员管理与培训程序</w:t>
      </w:r>
      <w:bookmarkEnd w:id="17"/>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制定人员培训培训计划、考核技术档案管理要求，以提高本站人员职业道德、技术素质和业务能力，保证检验检测工作质量。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适应范围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适应于本站与实验室活动有关人员的录用、培训、能力确认、授权等管理。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最高管理者/站长：负责组织机构的设置、职能分配和资源配置、关键岗位人员的任命。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技术负责人：负责组织对检验检测人员的能力、资历和技能考核；批准人员培训计划；审批核发上岗证；对关键设备操作人员进行授权。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质量负责人：负责人员培训计划的组织实施，对培训效果进行评价。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资料管理员：负责建立人员技术档案；负责收集培训记录，建立培训档案。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实验室室主任：负责收集本室培训</w:t>
      </w:r>
      <w:r>
        <w:rPr>
          <w:rFonts w:hint="eastAsia"/>
          <w:color w:val="000000" w:themeColor="text1"/>
          <w14:textFill>
            <w14:solidFill>
              <w14:schemeClr w14:val="tx1"/>
            </w14:solidFill>
          </w14:textFill>
        </w:rPr>
        <w:t xml:space="preserve">，制定培训计划</w:t>
      </w:r>
      <w:r>
        <w:rPr>
          <w:color w:val="000000" w:themeColor="text1"/>
          <w14:textFill>
            <w14:solidFill>
              <w14:schemeClr w14:val="tx1"/>
            </w14:solidFill>
          </w14:textFill>
        </w:rPr>
        <w:t xml:space="preserve">需求报</w:t>
      </w:r>
      <w:r>
        <w:rPr>
          <w:rFonts w:hint="eastAsia"/>
          <w:color w:val="000000" w:themeColor="text1"/>
          <w14:textFill>
            <w14:solidFill>
              <w14:schemeClr w14:val="tx1"/>
            </w14:solidFill>
          </w14:textFill>
        </w:rPr>
        <w:t xml:space="preserve">技术</w:t>
      </w:r>
      <w:r>
        <w:rPr>
          <w:color w:val="000000" w:themeColor="text1"/>
          <w14:textFill>
            <w14:solidFill>
              <w14:schemeClr w14:val="tx1"/>
            </w14:solidFill>
          </w14:textFill>
        </w:rPr>
        <w:t xml:space="preserve">负责人，组织检验检测人员进行岗前培训和上岗考核。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3.6 检验检测人员：提出培训需求，参加各类培训，参加上岗考核。</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用工和人员配置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本站根据实际工作及业务发展需要确定组织机构、岗位职责和任职资格，根据检验检测活动所需的人员要求配备各类管理人员、检验检测人员、关键支持人员。确保实验室管理人员和技术人员的数量、素质和能力满足工作要求。各专业室室主任可根据工作需要，提出对工作人员的配置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本站从业人员均需签订劳动用工合同，用工形式及合同均由实验检测技术中心综合管理室保管。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本站目前设有最高管理者、技术负责人、质量负责人、授权签字人、检验检测人员、质量监督员、内审员、设备管理员、样品管理员、资料管理员、库房管理员、安全管理员、统计监测员。其职责和任职资格应符合《质量手册》中</w:t>
      </w:r>
      <w:r>
        <w:fldChar w:fldCharType="begin"/>
      </w:r>
      <w:r>
        <w:instrText xml:space="preserve"> HYPERLINK "https://pqsuhhq8yu6.feishu.cn/wiki/GD2zw2ooeikBUjkuXJYcvWicnYC" \h </w:instrText>
      </w:r>
      <w:r>
        <w:fldChar w:fldCharType="separate"/>
      </w:r>
      <w:r>
        <w:rPr>
          <w:color w:val="000000" w:themeColor="text1"/>
          <w14:textFill>
            <w14:solidFill>
              <w14:schemeClr w14:val="tx1"/>
            </w14:solidFill>
          </w14:textFill>
        </w:rPr>
        <w:t xml:space="preserve">4.1 机构</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fldChar w:fldCharType="begin"/>
      </w:r>
      <w:r>
        <w:instrText xml:space="preserve"> HYPERLINK "https://pqsuhhq8yu6.feishu.cn/wiki/QJunw0hI8iuJdOkc7JmcLYI4nGb" \h </w:instrText>
      </w:r>
      <w:r>
        <w:fldChar w:fldCharType="separate"/>
      </w:r>
      <w:r>
        <w:rPr>
          <w:color w:val="000000" w:themeColor="text1"/>
          <w14:textFill>
            <w14:solidFill>
              <w14:schemeClr w14:val="tx1"/>
            </w14:solidFill>
          </w14:textFill>
        </w:rPr>
        <w:t xml:space="preserve">4.2 人员</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相关规定。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资料管理员根据本站人员配置情况建立并及时更新</w:t>
      </w:r>
      <w:r>
        <w:fldChar w:fldCharType="begin"/>
      </w:r>
      <w:r>
        <w:instrText xml:space="preserve"> HYPERLINK "https://pqsuhhq8yu6.feishu.cn/wiki/V6cdwhB8zilnKfkNz9xcnLDfnVd" \h </w:instrText>
      </w:r>
      <w:r>
        <w:fldChar w:fldCharType="separate"/>
      </w:r>
      <w:r>
        <w:rPr>
          <w:color w:val="000000" w:themeColor="text1"/>
          <w14:textFill>
            <w14:solidFill>
              <w14:schemeClr w14:val="tx1"/>
            </w14:solidFill>
          </w14:textFill>
        </w:rPr>
        <w:t xml:space="preserve">ZJZ/JL03-1人员一览表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从事与检验检测活动相关人员均需签订</w:t>
      </w:r>
      <w:r>
        <w:fldChar w:fldCharType="begin"/>
      </w:r>
      <w:r>
        <w:instrText xml:space="preserve"> HYPERLINK "https://pqsuhhq8yu6.feishu.cn/wiki/JOdewtuBFizcaRkqKFbc59twnbc" \h </w:instrText>
      </w:r>
      <w:r>
        <w:fldChar w:fldCharType="separate"/>
      </w:r>
      <w:r>
        <w:rPr>
          <w:color w:val="000000" w:themeColor="text1"/>
          <w14:textFill>
            <w14:solidFill>
              <w14:schemeClr w14:val="tx1"/>
            </w14:solidFill>
          </w14:textFill>
        </w:rPr>
        <w:t xml:space="preserve">ZJZ/JL 01-1从业承诺书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和</w:t>
      </w:r>
      <w:r>
        <w:fldChar w:fldCharType="begin"/>
      </w:r>
      <w:r>
        <w:instrText xml:space="preserve"> HYPERLINK "https://pqsuhhq8yu6.feishu.cn/wiki/LW6cwFWJViJmVSkY25GcCq8HnSb" \h </w:instrText>
      </w:r>
      <w:r>
        <w:fldChar w:fldCharType="separate"/>
      </w:r>
      <w:r>
        <w:rPr>
          <w:color w:val="000000" w:themeColor="text1"/>
          <w14:textFill>
            <w14:solidFill>
              <w14:schemeClr w14:val="tx1"/>
            </w14:solidFill>
          </w14:textFill>
        </w:rPr>
        <w:t xml:space="preserve">ZJZ/JL 02-1 保密承诺书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，承诺不在其它单位兼职从事相关检验检测工作，并保证公正、客观、独立的开展检验检测活动，遵守保密规定。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w:t>
      </w:r>
      <w:r>
        <w:rPr>
          <w:b/>
          <w:color w:val="000000" w:themeColor="text1"/>
          <w14:textFill>
            <w14:solidFill>
              <w14:schemeClr w14:val="tx1"/>
            </w14:solidFill>
          </w14:textFill>
        </w:rPr>
        <w:t xml:space="preserve">能力确认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技术负责人、质量负责人、授权签字人、提出意见和解释人员、质量监督员、内审员等人员满足任职资格后，授权签字人需通过石油评审组考核</w:t>
      </w:r>
      <w:r>
        <w:rPr>
          <w:rFonts w:hint="eastAsia"/>
          <w:color w:val="000000" w:themeColor="text1"/>
          <w14:textFill>
            <w14:solidFill>
              <w14:schemeClr w14:val="tx1"/>
            </w14:solidFill>
          </w14:textFill>
        </w:rPr>
        <w:t xml:space="preserve">，</w:t>
      </w:r>
      <w:r>
        <w:rPr>
          <w:color w:val="000000" w:themeColor="text1"/>
          <w14:textFill>
            <w14:solidFill>
              <w14:schemeClr w14:val="tx1"/>
            </w14:solidFill>
          </w14:textFill>
        </w:rPr>
        <w:t xml:space="preserve">内审员需通过第三方专业培训后取得合格证。上述人员满足要求后，本站以文件形式予以授权。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对从事抽样采样、检验检测、设备操作、签发检验检测报告以及提出意见和解释的人员不仅要求满足任职资格，上岗前还应对其能力进行确认，应取得质量检测站人员上岗合格证书。以上人员基本技能达到熟练操作水平时，各实验室室主任应组织对申请上岗的人员进行考核，包括理论考核和技能操作考核等，理论考核内容应包括实验室安全、质量管理体系和专业技术知识；技能操作考核应和上岗的内容一致。考核评价情况记入</w:t>
      </w:r>
      <w:r>
        <w:fldChar w:fldCharType="begin"/>
      </w:r>
      <w:r>
        <w:instrText xml:space="preserve"> HYPERLINK "https://pqsuhhq8yu6.feishu.cn/wiki/ADwVwwMpCi9tfQkfDjgcL6vDnYd" \h </w:instrText>
      </w:r>
      <w:r>
        <w:fldChar w:fldCharType="separate"/>
      </w:r>
      <w:r>
        <w:rPr>
          <w:color w:val="000000" w:themeColor="text1"/>
          <w14:textFill>
            <w14:solidFill>
              <w14:schemeClr w14:val="tx1"/>
            </w14:solidFill>
          </w14:textFill>
        </w:rPr>
        <w:t xml:space="preserve">ZJZ/JL 03-2 检测人员上岗考核表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，报技术负责人审批。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技术负责人根据检测人员的检测能力表现、考核结果，确定是否批准其上岗。经批准后，制作颁发检验检测人员上岗证书。证书中应明确该检测人员所获得授权的检测项目范围、授权操作的设备、授权日期等，填写</w:t>
      </w:r>
      <w:r>
        <w:fldChar w:fldCharType="begin"/>
      </w:r>
      <w:r>
        <w:instrText xml:space="preserve"> HYPERLINK "https://pqsuhhq8yu6.feishu.cn/wiki/YDuowFjRsivthjkLiQOcY8vcn5c" \h </w:instrText>
      </w:r>
      <w:r>
        <w:fldChar w:fldCharType="separate"/>
      </w:r>
      <w:r>
        <w:rPr>
          <w:color w:val="000000" w:themeColor="text1"/>
          <w14:textFill>
            <w14:solidFill>
              <w14:schemeClr w14:val="tx1"/>
            </w14:solidFill>
          </w14:textFill>
        </w:rPr>
        <w:t xml:space="preserve">ZJZ/JL 03-8 检验检测能力确认与仪器设备授权矩阵表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对转岗、新上岗员工培训考核合格后首次上岗时，由质量监督人员对其工作进行监督，并填写</w:t>
      </w:r>
      <w:r>
        <w:fldChar w:fldCharType="begin"/>
      </w:r>
      <w:r>
        <w:instrText xml:space="preserve"> HYPERLINK "https://pqsuhhq8yu6.feishu.cn/wiki/BTp6wS3BDiS7GYktsjncVMxYn6b" \h </w:instrText>
      </w:r>
      <w:r>
        <w:fldChar w:fldCharType="separate"/>
      </w:r>
      <w:r>
        <w:rPr>
          <w:color w:val="000000" w:themeColor="text1"/>
          <w14:textFill>
            <w14:solidFill>
              <w14:schemeClr w14:val="tx1"/>
            </w14:solidFill>
          </w14:textFill>
        </w:rPr>
        <w:t xml:space="preserve">ZJZ/JL27-3质量监督工作记录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检测能力的定期评价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每年初由技术负责人组织各实验室室主任根据员工入职履历及技能情况，制定人员能力保持计划，将计划列入本站年度质控计划并组织实施。确保每个认证周期人员能力确认至少一次。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按照年度质控计划，由实验室室主任组织对本所室检验检测人员重新确认，填写</w:t>
      </w:r>
      <w:r>
        <w:fldChar w:fldCharType="begin"/>
      </w:r>
      <w:r>
        <w:instrText xml:space="preserve"> HYPERLINK "https://pqsuhhq8yu6.feishu.cn/wiki/WIY1wlmk5iR6vukfSH5ci8ednbe" \h </w:instrText>
      </w:r>
      <w:r>
        <w:fldChar w:fldCharType="separate"/>
      </w:r>
      <w:r>
        <w:rPr>
          <w:color w:val="000000" w:themeColor="text1"/>
          <w14:textFill>
            <w14:solidFill>
              <w14:schemeClr w14:val="tx1"/>
            </w14:solidFill>
          </w14:textFill>
        </w:rPr>
        <w:t xml:space="preserve">ZJZ/JL03-3检测人员能力定期评价记录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，报技术负责人审核，审核完成后将评价记录及相关考核原始记录存入人员技术档案。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人员能力确认可采用但不限于以下形式：人员比对、留样复测、操作演示、盲样考核等。当员工能力不能满足要求时，可采取调换岗位、培训等措施。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w:t>
      </w:r>
      <w:r>
        <w:rPr>
          <w:b/>
          <w:color w:val="000000" w:themeColor="text1"/>
          <w14:textFill>
            <w14:solidFill>
              <w14:schemeClr w14:val="tx1"/>
            </w14:solidFill>
          </w14:textFill>
        </w:rPr>
        <w:t xml:space="preserve">人员档案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资料管理员负责对人员信息进行管理，建立人员技术档案并及时更新。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人员技术档案应涵盖人员的基本信息、学历、专业、职称、培训、能力考核及保持等内容以及相关的证明材料，发生过的质量事故及处理结果等。人员基本情况表由岗位人员填写</w:t>
      </w:r>
      <w:r>
        <w:fldChar w:fldCharType="begin"/>
      </w:r>
      <w:r>
        <w:instrText xml:space="preserve"> HYPERLINK "https://pqsuhhq8yu6.feishu.cn/wiki/WYGpwuivFi1tE0ksePecJSSQnfd" \h </w:instrText>
      </w:r>
      <w:r>
        <w:fldChar w:fldCharType="separate"/>
      </w:r>
      <w:r>
        <w:rPr>
          <w:color w:val="000000" w:themeColor="text1"/>
          <w14:textFill>
            <w14:solidFill>
              <w14:schemeClr w14:val="tx1"/>
            </w14:solidFill>
          </w14:textFill>
        </w:rPr>
        <w:t xml:space="preserve">ZJZ/JL 03-7 技术人员</w:t>
      </w:r>
      <w:r>
        <w:rPr>
          <w:rFonts w:hint="eastAsia"/>
          <w:color w:val="000000" w:themeColor="text1"/>
          <w14:textFill>
            <w14:solidFill>
              <w14:schemeClr w14:val="tx1"/>
            </w14:solidFill>
          </w14:textFill>
        </w:rPr>
        <w:t xml:space="preserve">简历</w:t>
      </w:r>
      <w:r>
        <w:rPr>
          <w:color w:val="000000" w:themeColor="text1"/>
          <w14:textFill>
            <w14:solidFill>
              <w14:schemeClr w14:val="tx1"/>
            </w14:solidFill>
          </w14:textFill>
        </w:rPr>
        <w:t xml:space="preserve">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fldChar w:fldCharType="begin"/>
      </w:r>
      <w:r>
        <w:instrText xml:space="preserve"> HYPERLINK "https://pqsuhhq8yu6.feishu.cn/wiki/LTFEw5O51iIlVzkHB6VcAlwKnxd" \h </w:instrText>
      </w:r>
      <w:r>
        <w:fldChar w:fldCharType="separate"/>
      </w:r>
      <w:r>
        <w:rPr>
          <w:color w:val="000000" w:themeColor="text1"/>
          <w14:textFill>
            <w14:solidFill>
              <w14:schemeClr w14:val="tx1"/>
            </w14:solidFill>
          </w14:textFill>
        </w:rPr>
        <w:t xml:space="preserve">ZJZ/JL03-6人员培训履历表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，经所技术负责人审核后，交资料管理员归档。当职称、学历、资格培训等发生变化时，由岗位人员提出，实验室室主任审核后，及时更新信息。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w:t>
      </w:r>
      <w:r>
        <w:rPr>
          <w:b/>
          <w:color w:val="000000" w:themeColor="text1"/>
          <w14:textFill>
            <w14:solidFill>
              <w14:schemeClr w14:val="tx1"/>
            </w14:solidFill>
          </w14:textFill>
        </w:rPr>
        <w:t xml:space="preserve">人员监督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应对从事检验检测工作的人员(包括已上岗和上岗前人员）进行监督, 监督重点是：</w:t>
      </w:r>
      <w:r>
        <w:rPr>
          <w:color w:val="000000" w:themeColor="text1"/>
          <w14:textFill>
            <w14:solidFill>
              <w14:schemeClr w14:val="tx1"/>
            </w14:solidFill>
          </w14:textFill>
        </w:rPr>
      </w:r>
    </w:p>
    <w:p>
      <w:pPr>
        <w:pStyle w:val="1996"/>
        <w:numPr>
          <w:ilvl w:val="0"/>
          <w:numId w:val="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实习（在培）人员；</w:t>
      </w:r>
      <w:r>
        <w:rPr>
          <w:color w:val="000000" w:themeColor="text1"/>
          <w14:textFill>
            <w14:solidFill>
              <w14:schemeClr w14:val="tx1"/>
            </w14:solidFill>
          </w14:textFill>
        </w:rPr>
      </w:r>
    </w:p>
    <w:p>
      <w:pPr>
        <w:pStyle w:val="1996"/>
        <w:numPr>
          <w:ilvl w:val="0"/>
          <w:numId w:val="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新上岗人员，离岗半年以上人员；</w:t>
      </w:r>
      <w:r>
        <w:rPr>
          <w:color w:val="000000" w:themeColor="text1"/>
          <w14:textFill>
            <w14:solidFill>
              <w14:schemeClr w14:val="tx1"/>
            </w14:solidFill>
          </w14:textFill>
        </w:rPr>
      </w:r>
    </w:p>
    <w:p>
      <w:pPr>
        <w:pStyle w:val="1996"/>
        <w:numPr>
          <w:ilvl w:val="0"/>
          <w:numId w:val="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转岗人员；</w:t>
      </w:r>
      <w:r>
        <w:rPr>
          <w:color w:val="000000" w:themeColor="text1"/>
          <w14:textFill>
            <w14:solidFill>
              <w14:schemeClr w14:val="tx1"/>
            </w14:solidFill>
          </w14:textFill>
        </w:rPr>
      </w:r>
    </w:p>
    <w:p>
      <w:pPr>
        <w:pStyle w:val="1996"/>
        <w:numPr>
          <w:ilvl w:val="0"/>
          <w:numId w:val="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能力验证或比对结果可疑或不满意的人员；</w:t>
      </w:r>
      <w:r>
        <w:rPr>
          <w:color w:val="000000" w:themeColor="text1"/>
          <w14:textFill>
            <w14:solidFill>
              <w14:schemeClr w14:val="tx1"/>
            </w14:solidFill>
          </w14:textFill>
        </w:rPr>
      </w:r>
    </w:p>
    <w:p>
      <w:pPr>
        <w:pStyle w:val="1996"/>
        <w:numPr>
          <w:ilvl w:val="0"/>
          <w:numId w:val="1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发生客户投诉的人员；</w:t>
      </w:r>
      <w:r>
        <w:rPr>
          <w:color w:val="000000" w:themeColor="text1"/>
          <w14:textFill>
            <w14:solidFill>
              <w14:schemeClr w14:val="tx1"/>
            </w14:solidFill>
          </w14:textFill>
        </w:rPr>
      </w:r>
    </w:p>
    <w:p>
      <w:pPr>
        <w:pStyle w:val="1996"/>
        <w:numPr>
          <w:ilvl w:val="0"/>
          <w:numId w:val="1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仲裁样品、重要样品的检验检测人员；</w:t>
      </w:r>
      <w:r>
        <w:rPr>
          <w:color w:val="000000" w:themeColor="text1"/>
          <w14:textFill>
            <w14:solidFill>
              <w14:schemeClr w14:val="tx1"/>
            </w14:solidFill>
          </w14:textFill>
        </w:rPr>
      </w:r>
    </w:p>
    <w:p>
      <w:pPr>
        <w:pStyle w:val="1996"/>
        <w:numPr>
          <w:ilvl w:val="0"/>
          <w:numId w:val="1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样品量大、工作频次高的岗位人员。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质量监督员按照4.5.1的需求编制年度人员监督计划，报质量负责人审批后纳入年度质量控制计划并实施。人员监督执行</w:t>
      </w:r>
      <w:r>
        <w:fldChar w:fldCharType="begin"/>
      </w:r>
      <w:r>
        <w:instrText xml:space="preserve"> HYPERLINK "https://pqsuhhq8yu6.feishu.cn/wiki/Zgr6w5hjkiKf73kMDRmcJibrnWe" \h </w:instrText>
      </w:r>
      <w:r>
        <w:fldChar w:fldCharType="separate"/>
      </w:r>
      <w:r>
        <w:rPr>
          <w:color w:val="000000" w:themeColor="text1"/>
          <w14:textFill>
            <w14:solidFill>
              <w14:schemeClr w14:val="tx1"/>
            </w14:solidFill>
          </w14:textFill>
        </w:rPr>
        <w:t xml:space="preserve">ZJZ/CX-27 检验检测质量控制程序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，质量监督员具体实施并填写</w:t>
      </w:r>
      <w:r>
        <w:fldChar w:fldCharType="begin"/>
      </w:r>
      <w:r>
        <w:instrText xml:space="preserve"> HYPERLINK "https://pqsuhhq8yu6.feishu.cn/wiki/BTp6wS3BDiS7GYktsjncVMxYn6b" \h </w:instrText>
      </w:r>
      <w:r>
        <w:fldChar w:fldCharType="separate"/>
      </w:r>
      <w:r>
        <w:rPr>
          <w:color w:val="000000" w:themeColor="text1"/>
          <w14:textFill>
            <w14:solidFill>
              <w14:schemeClr w14:val="tx1"/>
            </w14:solidFill>
          </w14:textFill>
        </w:rPr>
        <w:t xml:space="preserve">ZJZ/JL 27-3 人员监督记录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，质量负责人对监督效果进行评价。人员监督完成后及时将质量监督记录、监督报告由质量监督员交资料管理员存档。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人员监督采用但不限于以下方式：现场操作演示、核查报告和原始记录、人员比对、观察等。充分利用参加能力验证和实验室间比对的结果对人员实施监督。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人员技术能力的监督主要包括：样品的前处理及标识、方法的选择、仪器的操作、检验检测流程、关键环节控制、环境条件设置和监控记录、测得结果或数据的评价等。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4.5.5 质量监督员有权要求违反操作规程、技术标准/技术规范或实施细则及管理体系要求的检验检测人员进行整改，并有权力停止发现的不符合工作。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4.5.6 质量负责人负责组织各实验室室主任对年度人员监督资料、数据进行统计分析，及时向技术负责人报告监督存在的问题，并形成文件提交管理评审。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4.5.7 人员监督结果作为培训需求的输入。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4.5.8 技术负责人依据人员的能力和技能考核、监督资料、数据统计结果分析人员资格、任用、授权和能力等是否符合岗位要求。当需要岗位调整时，及时上报站长审核，以确保人员的技术能力能够胜任该工作。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w:t>
      </w:r>
      <w:r>
        <w:rPr>
          <w:b/>
          <w:color w:val="000000" w:themeColor="text1"/>
          <w14:textFill>
            <w14:solidFill>
              <w14:schemeClr w14:val="tx1"/>
            </w14:solidFill>
          </w14:textFill>
        </w:rPr>
        <w:t xml:space="preserve">人员培训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技术负责人负责组织实验室室主任根据质量目标以及当前和预期的任务或发展规划，编制与其相适应的</w:t>
      </w:r>
      <w:r>
        <w:fldChar w:fldCharType="begin"/>
      </w:r>
      <w:r>
        <w:instrText xml:space="preserve"> HYPERLINK "https://pqsuhhq8yu6.feishu.cn/wiki/WYGpwuivFi1tE0ksePecJSSQnfd" \h </w:instrText>
      </w:r>
      <w:r>
        <w:fldChar w:fldCharType="separate"/>
      </w:r>
      <w:r>
        <w:rPr>
          <w:color w:val="000000" w:themeColor="text1"/>
          <w14:textFill>
            <w14:solidFill>
              <w14:schemeClr w14:val="tx1"/>
            </w14:solidFill>
          </w14:textFill>
        </w:rPr>
        <w:t xml:space="preserve">ZJZ/JL 03-4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年度人员培训计划。培训计划既要考虑本站当前和预期的任务需要，也要考虑检验检测人员以及其他与检验检测活动相关人员的资格、能力、经验和监督评价的结果，明确培训的对象、内容、方式等。培训计划由质量负责人组织各实验室室主任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4.6.2 培训内容包含但不限于安全环保、质量管理体系文件及相应的法律法规、专业技术等多个方面。</w:t>
      </w:r>
      <w:r>
        <w:rPr>
          <w:color w:val="000000" w:themeColor="text1"/>
          <w14:textFill>
            <w14:solidFill>
              <w14:schemeClr w14:val="tx1"/>
            </w14:solidFill>
          </w14:textFill>
        </w:rPr>
      </w:r>
    </w:p>
    <w:p>
      <w:pPr>
        <w:pStyle w:val="1996"/>
        <w:numPr>
          <w:ilvl w:val="0"/>
          <w:numId w:val="1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相关法律法规、资质认定管理办法、及诚实信用、公平公正等方面要求；如与其相关的法律法规包括计量法、产品质量法、标准化法等；与实验室资质认定相关的《检验检测机构资质认定管理办法》、《检验检测机构资质认定评审准则》等；开展公正诚信、承担社会责任等方面的教育培训等。</w:t>
      </w:r>
      <w:r>
        <w:rPr>
          <w:color w:val="000000" w:themeColor="text1"/>
          <w14:textFill>
            <w14:solidFill>
              <w14:schemeClr w14:val="tx1"/>
            </w14:solidFill>
          </w14:textFill>
        </w:rPr>
      </w:r>
    </w:p>
    <w:p>
      <w:pPr>
        <w:pStyle w:val="1996"/>
        <w:numPr>
          <w:ilvl w:val="0"/>
          <w:numId w:val="1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质量管理体系方面的培训，如质量手册、程序文件、作业指导书和各项规章制度、质量记录和技术记录表格模板等。</w:t>
      </w:r>
      <w:r>
        <w:rPr>
          <w:color w:val="000000" w:themeColor="text1"/>
          <w14:textFill>
            <w14:solidFill>
              <w14:schemeClr w14:val="tx1"/>
            </w14:solidFill>
          </w14:textFill>
        </w:rPr>
      </w:r>
    </w:p>
    <w:p>
      <w:pPr>
        <w:pStyle w:val="1996"/>
        <w:numPr>
          <w:ilvl w:val="0"/>
          <w:numId w:val="1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相关专业理论知识、专业技能、计量溯源与检验检测数据处理等；如检测人员应掌握检测结果质量控制活动相关的理论知识，掌握检测结果质量手段的使用方法、结果评价方法等，有效利用各种质量控制手段来保证检测结果质量。</w:t>
      </w:r>
      <w:r>
        <w:rPr>
          <w:color w:val="000000" w:themeColor="text1"/>
          <w14:textFill>
            <w14:solidFill>
              <w14:schemeClr w14:val="tx1"/>
            </w14:solidFill>
          </w14:textFill>
        </w:rPr>
      </w:r>
    </w:p>
    <w:p>
      <w:pPr>
        <w:pStyle w:val="1996"/>
        <w:numPr>
          <w:ilvl w:val="0"/>
          <w:numId w:val="1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相关的标准、规范、新方法、新开展的检验检测项目等；如本站检测能力范围内涉及的所有检测标准均可纳入培训内容，通过对技术人员进行检测标准方法的培训，使其具备相应检测项目的检测能力；对于新开展的检测项目涉及的检测标准方法，可选派技术骨干到外部培训，然后再由这些技术骨干对内部技术人员进行培训。</w:t>
      </w:r>
      <w:r>
        <w:rPr>
          <w:color w:val="000000" w:themeColor="text1"/>
          <w14:textFill>
            <w14:solidFill>
              <w14:schemeClr w14:val="tx1"/>
            </w14:solidFill>
          </w14:textFill>
        </w:rPr>
      </w:r>
    </w:p>
    <w:p>
      <w:pPr>
        <w:pStyle w:val="1996"/>
        <w:numPr>
          <w:ilvl w:val="0"/>
          <w:numId w:val="1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仪器设备操作技能及操作规程；针对关键设备或操作复杂的仪器设备可开展仪器原理、操作和维护、安全注意事项、期间核查方法等方面的培训。</w:t>
      </w:r>
      <w:r>
        <w:rPr>
          <w:color w:val="000000" w:themeColor="text1"/>
          <w14:textFill>
            <w14:solidFill>
              <w14:schemeClr w14:val="tx1"/>
            </w14:solidFill>
          </w14:textFill>
        </w:rPr>
      </w:r>
    </w:p>
    <w:p>
      <w:pPr>
        <w:pStyle w:val="1996"/>
        <w:numPr>
          <w:ilvl w:val="0"/>
          <w:numId w:val="1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安全环保、职业病防护等。如实验室安全基础知识、危险化学品使用、气瓶使用以及危险废物处置等方面的培训。</w:t>
      </w:r>
      <w:r>
        <w:rPr>
          <w:color w:val="000000" w:themeColor="text1"/>
          <w14:textFill>
            <w14:solidFill>
              <w14:schemeClr w14:val="tx1"/>
            </w14:solidFill>
          </w14:textFill>
        </w:rPr>
      </w:r>
    </w:p>
    <w:p>
      <w:pPr>
        <w:pStyle w:val="1996"/>
        <w:numPr>
          <w:ilvl w:val="0"/>
          <w:numId w:val="1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内审员、测量不确定度的专项培训。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4.6.3 培训可采取多种方式，以求加快检验检测人员的知识更新与补充。</w:t>
      </w:r>
      <w:r>
        <w:rPr>
          <w:color w:val="000000" w:themeColor="text1"/>
          <w14:textFill>
            <w14:solidFill>
              <w14:schemeClr w14:val="tx1"/>
            </w14:solidFill>
          </w14:textFill>
        </w:rPr>
      </w:r>
    </w:p>
    <w:p>
      <w:pPr>
        <w:pStyle w:val="1996"/>
        <w:numPr>
          <w:ilvl w:val="0"/>
          <w:numId w:val="2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参加中心内部组织举办的各类培训；</w:t>
      </w:r>
      <w:r>
        <w:rPr>
          <w:color w:val="000000" w:themeColor="text1"/>
          <w14:textFill>
            <w14:solidFill>
              <w14:schemeClr w14:val="tx1"/>
            </w14:solidFill>
          </w14:textFill>
        </w:rPr>
      </w:r>
    </w:p>
    <w:p>
      <w:pPr>
        <w:pStyle w:val="1996"/>
        <w:numPr>
          <w:ilvl w:val="0"/>
          <w:numId w:val="2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参加外部技术和管理交流；</w:t>
      </w:r>
      <w:r>
        <w:rPr>
          <w:color w:val="000000" w:themeColor="text1"/>
          <w14:textFill>
            <w14:solidFill>
              <w14:schemeClr w14:val="tx1"/>
            </w14:solidFill>
          </w14:textFill>
        </w:rPr>
      </w:r>
    </w:p>
    <w:p>
      <w:pPr>
        <w:pStyle w:val="1996"/>
        <w:numPr>
          <w:ilvl w:val="0"/>
          <w:numId w:val="2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参加资质取证培训等。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4.6.4 当出现以下情况时，应把握时机组织培训</w:t>
      </w:r>
      <w:r>
        <w:rPr>
          <w:color w:val="000000" w:themeColor="text1"/>
          <w14:textFill>
            <w14:solidFill>
              <w14:schemeClr w14:val="tx1"/>
            </w14:solidFill>
          </w14:textFill>
        </w:rPr>
      </w:r>
    </w:p>
    <w:p>
      <w:pPr>
        <w:pStyle w:val="1996"/>
        <w:numPr>
          <w:ilvl w:val="0"/>
          <w:numId w:val="2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新法律、法规实施时；</w:t>
      </w:r>
      <w:r>
        <w:rPr>
          <w:color w:val="000000" w:themeColor="text1"/>
          <w14:textFill>
            <w14:solidFill>
              <w14:schemeClr w14:val="tx1"/>
            </w14:solidFill>
          </w14:textFill>
        </w:rPr>
      </w:r>
    </w:p>
    <w:p>
      <w:pPr>
        <w:pStyle w:val="1996"/>
        <w:numPr>
          <w:ilvl w:val="0"/>
          <w:numId w:val="2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体系文件换版实施时；</w:t>
      </w:r>
      <w:r>
        <w:rPr>
          <w:color w:val="000000" w:themeColor="text1"/>
          <w14:textFill>
            <w14:solidFill>
              <w14:schemeClr w14:val="tx1"/>
            </w14:solidFill>
          </w14:textFill>
        </w:rPr>
      </w:r>
    </w:p>
    <w:p>
      <w:pPr>
        <w:pStyle w:val="1996"/>
        <w:numPr>
          <w:ilvl w:val="0"/>
          <w:numId w:val="2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仪器设备更新投入使用前；</w:t>
      </w:r>
      <w:r>
        <w:rPr>
          <w:color w:val="000000" w:themeColor="text1"/>
          <w14:textFill>
            <w14:solidFill>
              <w14:schemeClr w14:val="tx1"/>
            </w14:solidFill>
          </w14:textFill>
        </w:rPr>
      </w:r>
    </w:p>
    <w:p>
      <w:pPr>
        <w:pStyle w:val="1996"/>
        <w:numPr>
          <w:ilvl w:val="0"/>
          <w:numId w:val="2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方法标准变更实施前；</w:t>
      </w:r>
      <w:r>
        <w:rPr>
          <w:color w:val="000000" w:themeColor="text1"/>
          <w14:textFill>
            <w14:solidFill>
              <w14:schemeClr w14:val="tx1"/>
            </w14:solidFill>
          </w14:textFill>
        </w:rPr>
      </w:r>
    </w:p>
    <w:p>
      <w:pPr>
        <w:pStyle w:val="1996"/>
        <w:numPr>
          <w:ilvl w:val="0"/>
          <w:numId w:val="2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开展新的检验检测项目之前；</w:t>
      </w:r>
      <w:r>
        <w:rPr>
          <w:color w:val="000000" w:themeColor="text1"/>
          <w14:textFill>
            <w14:solidFill>
              <w14:schemeClr w14:val="tx1"/>
            </w14:solidFill>
          </w14:textFill>
        </w:rPr>
      </w:r>
    </w:p>
    <w:p>
      <w:pPr>
        <w:pStyle w:val="1996"/>
        <w:numPr>
          <w:ilvl w:val="0"/>
          <w:numId w:val="2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员工上岗前；</w:t>
      </w:r>
      <w:r>
        <w:rPr>
          <w:color w:val="000000" w:themeColor="text1"/>
          <w14:textFill>
            <w14:solidFill>
              <w14:schemeClr w14:val="tx1"/>
            </w14:solidFill>
          </w14:textFill>
        </w:rPr>
      </w:r>
    </w:p>
    <w:p>
      <w:pPr>
        <w:pStyle w:val="1996"/>
        <w:numPr>
          <w:ilvl w:val="0"/>
          <w:numId w:val="2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由于员工技术缺陷形成技术隐患或造成质量事故后等。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4.6.5 对人员监督、能力比对、技能考核等过程中发现严重不符合的人员，或者在实际工作中发现其不适应本岗位工作要求的人员，应暂停其工作，通过转岗培训或待岗培训考核合格后，才可从事检验检测工作。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4.6.6 本站所有人员均应根据自己的本职工作需要，必须参加相关业务和理论的学习与培训，鼓励员工参加跨专业技术培训。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4.6.7 培训均应有记录和效果评价。本站组织的培训应及时记录培训时间、培训内容、培训人员等信息，填写</w:t>
      </w:r>
      <w:r>
        <w:fldChar w:fldCharType="begin"/>
      </w:r>
      <w:r>
        <w:instrText xml:space="preserve"> HYPERLINK "https://pqsuhhq8yu6.feishu.cn/wiki/SSe5wOdAYiFbGfkQ1cPctVkMnTb" \h </w:instrText>
      </w:r>
      <w:r>
        <w:fldChar w:fldCharType="separate"/>
      </w:r>
      <w:r>
        <w:rPr>
          <w:color w:val="000000" w:themeColor="text1"/>
          <w14:textFill>
            <w14:solidFill>
              <w14:schemeClr w14:val="tx1"/>
            </w14:solidFill>
          </w14:textFill>
        </w:rPr>
        <w:t xml:space="preserve">ZJZ/JL 03-5 培训记录表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，参加外出培训的人员应根据培训学习情况总结学习内容和学习心得，填写</w:t>
      </w:r>
      <w:r>
        <w:fldChar w:fldCharType="begin"/>
      </w:r>
      <w:r>
        <w:instrText xml:space="preserve"> HYPERLINK "https://pqsuhhq8yu6.feishu.cn/wiki/QTD2wX1TdibcsHkmNAxc1rNAnLg" \h </w:instrText>
      </w:r>
      <w:r>
        <w:fldChar w:fldCharType="separate"/>
      </w:r>
      <w:r>
        <w:rPr>
          <w:color w:val="000000" w:themeColor="text1"/>
          <w14:textFill>
            <w14:solidFill>
              <w14:schemeClr w14:val="tx1"/>
            </w14:solidFill>
          </w14:textFill>
        </w:rPr>
        <w:t xml:space="preserve">ZJZ/JL 03-9 外出培训登记表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，质量负责人/技术负责人采取书面考试、现场提问、实际操作等方式组织培训效果评价。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4.6.8 质量负责人年终对培训实施情况进行总结，并将总结报告作为管理评审输入。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4.6.9 资料管理员负责人员培训记录资料的归档及保存。</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相关文件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"https://pqsuhhq8yu6.feishu.cn/wiki/Zgr6w5hjkiKf73kMDRmcJibrnWe" \h </w:instrText>
      </w:r>
      <w:r>
        <w:fldChar w:fldCharType="separate"/>
      </w:r>
      <w:r>
        <w:rPr>
          <w:color w:val="000000" w:themeColor="text1"/>
          <w14:textFill>
            <w14:solidFill>
              <w14:schemeClr w14:val="tx1"/>
            </w14:solidFill>
          </w14:textFill>
        </w:rPr>
        <w:t xml:space="preserve">ZJZ/CX-27 质量控制程序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"https://pqsuhhq8yu6.feishu.cn/wiki/JOdewtuBFizcaRkqKFbc59twnbc" \h </w:instrText>
      </w:r>
      <w:r>
        <w:fldChar w:fldCharType="separate"/>
      </w:r>
      <w:r>
        <w:rPr>
          <w:color w:val="000000" w:themeColor="text1"/>
          <w14:textFill>
            <w14:solidFill>
              <w14:schemeClr w14:val="tx1"/>
            </w14:solidFill>
          </w14:textFill>
        </w:rPr>
        <w:t xml:space="preserve">ZJZ/JL 01-1从业承诺书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"https://pqsuhhq8yu6.feishu.cn/wiki/LW6cwFWJViJmVSkY25GcCq8HnSb" \h </w:instrText>
      </w:r>
      <w:r>
        <w:fldChar w:fldCharType="separate"/>
      </w:r>
      <w:r>
        <w:rPr>
          <w:color w:val="000000" w:themeColor="text1"/>
          <w14:textFill>
            <w14:solidFill>
              <w14:schemeClr w14:val="tx1"/>
            </w14:solidFill>
          </w14:textFill>
        </w:rPr>
        <w:t xml:space="preserve">ZJZ/JL 02-1 保密承诺书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"https://pqsuhhq8yu6.feishu.cn/wiki/V6cdwhB8zilnKfkNz9xcnLDfnVd" \h </w:instrText>
      </w:r>
      <w:r>
        <w:fldChar w:fldCharType="separate"/>
      </w:r>
      <w:r>
        <w:rPr>
          <w:color w:val="000000" w:themeColor="text1"/>
          <w14:textFill>
            <w14:solidFill>
              <w14:schemeClr w14:val="tx1"/>
            </w14:solidFill>
          </w14:textFill>
        </w:rPr>
        <w:t xml:space="preserve">ZJZ/JL 03-1人员一览表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"https://pqsuhhq8yu6.feishu.cn/wiki/ADwVwwMpCi9tfQkfDjgcL6vDnYd" \h </w:instrText>
      </w:r>
      <w:r>
        <w:fldChar w:fldCharType="separate"/>
      </w:r>
      <w:r>
        <w:rPr>
          <w:color w:val="000000" w:themeColor="text1"/>
          <w14:textFill>
            <w14:solidFill>
              <w14:schemeClr w14:val="tx1"/>
            </w14:solidFill>
          </w14:textFill>
        </w:rPr>
        <w:t xml:space="preserve">ZJZ/JL 03-2 检测人员上岗考核表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"https://pqsuhhq8yu6.feishu.cn/wiki/WIY1wlmk5iR6vukfSH5ci8ednbe" \h </w:instrText>
      </w:r>
      <w:r>
        <w:fldChar w:fldCharType="separate"/>
      </w:r>
      <w:r>
        <w:rPr>
          <w:color w:val="000000" w:themeColor="text1"/>
          <w14:textFill>
            <w14:solidFill>
              <w14:schemeClr w14:val="tx1"/>
            </w14:solidFill>
          </w14:textFill>
        </w:rPr>
        <w:t xml:space="preserve">ZJZ/JL 03-3 检测人员能力定期评价记录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"https://pqsuhhq8yu6.feishu.cn/wiki/WYGpwuivFi1tE0ksePecJSSQnfd" \h </w:instrText>
      </w:r>
      <w:r>
        <w:fldChar w:fldCharType="separate"/>
      </w:r>
      <w:r>
        <w:rPr>
          <w:color w:val="000000" w:themeColor="text1"/>
          <w14:textFill>
            <w14:solidFill>
              <w14:schemeClr w14:val="tx1"/>
            </w14:solidFill>
          </w14:textFill>
        </w:rPr>
        <w:t xml:space="preserve">ZJZ/JL 03-4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****年度人员培训计划</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"https://pqsuhhq8yu6.feishu.cn/wiki/LTFEw5O51iIlVzkHB6VcAlwKnxd" \h </w:instrText>
      </w:r>
      <w:r>
        <w:fldChar w:fldCharType="separate"/>
      </w:r>
      <w:r>
        <w:rPr>
          <w:color w:val="000000" w:themeColor="text1"/>
          <w14:textFill>
            <w14:solidFill>
              <w14:schemeClr w14:val="tx1"/>
            </w14:solidFill>
          </w14:textFill>
        </w:rPr>
        <w:t xml:space="preserve">ZJZ/JL 03-5 培训记录表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"https://pqsuhhq8yu6.feishu.cn/wiki/UKzpwHQ2YiS6tWkkJsMc6D95nhf" \h </w:instrText>
      </w:r>
      <w:r>
        <w:fldChar w:fldCharType="separate"/>
      </w:r>
      <w:r>
        <w:rPr>
          <w:color w:val="000000" w:themeColor="text1"/>
          <w14:textFill>
            <w14:solidFill>
              <w14:schemeClr w14:val="tx1"/>
            </w14:solidFill>
          </w14:textFill>
        </w:rPr>
        <w:t xml:space="preserve">ZJZ/JL 03-6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人员培训履历表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"https://pqsuhhq8yu6.feishu.cn/wiki/QTD2wX1TdibcsHkmNAxc1rNAnLg" \h </w:instrText>
      </w:r>
      <w:r>
        <w:fldChar w:fldCharType="separate"/>
      </w:r>
      <w:r>
        <w:rPr>
          <w:color w:val="000000" w:themeColor="text1"/>
          <w14:textFill>
            <w14:solidFill>
              <w14:schemeClr w14:val="tx1"/>
            </w14:solidFill>
          </w14:textFill>
        </w:rPr>
        <w:t xml:space="preserve">ZJZ/JL 03-7 技术人员</w:t>
      </w:r>
      <w:r>
        <w:rPr>
          <w:rFonts w:hint="eastAsia"/>
          <w:color w:val="000000" w:themeColor="text1"/>
          <w14:textFill>
            <w14:solidFill>
              <w14:schemeClr w14:val="tx1"/>
            </w14:solidFill>
          </w14:textFill>
        </w:rPr>
        <w:t xml:space="preserve">简历</w:t>
      </w:r>
      <w:r>
        <w:rPr>
          <w:color w:val="000000" w:themeColor="text1"/>
          <w14:textFill>
            <w14:solidFill>
              <w14:schemeClr w14:val="tx1"/>
            </w14:solidFill>
          </w14:textFill>
        </w:rPr>
        <w:t xml:space="preserve">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"https://pqsuhhq8yu6.feishu.cn/wiki/YDuowFjRsivthjkLiQOcY8vcn5c" \h </w:instrText>
      </w:r>
      <w:r>
        <w:fldChar w:fldCharType="separate"/>
      </w:r>
      <w:r>
        <w:rPr>
          <w:color w:val="000000" w:themeColor="text1"/>
          <w14:textFill>
            <w14:solidFill>
              <w14:schemeClr w14:val="tx1"/>
            </w14:solidFill>
          </w14:textFill>
        </w:rPr>
        <w:t xml:space="preserve">ZJZ/JL 03-8 检验检测能力确认与仪器设备授权矩阵表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highlight w:val="yellow"/>
          <w14:textFill>
            <w14:solidFill>
              <w14:schemeClr w14:val="tx1"/>
            </w14:solidFill>
          </w14:textFill>
        </w:rPr>
        <w:t xml:space="preserve">ZJZ/JL 03-9 外出培训登记表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"https://pqsuhhq8yu6.feishu.cn/wiki/BTp6wS3BDiS7GYktsjncVMxYn6b" \h </w:instrText>
      </w:r>
      <w:r>
        <w:fldChar w:fldCharType="separate"/>
      </w:r>
      <w:r>
        <w:rPr>
          <w:color w:val="000000" w:themeColor="text1"/>
          <w14:textFill>
            <w14:solidFill>
              <w14:schemeClr w14:val="tx1"/>
            </w14:solidFill>
          </w14:textFill>
        </w:rPr>
        <w:t xml:space="preserve">ZJZ/JL 27-3 人员监督记录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18" w:name="_Toc6012"/>
      <w:r>
        <w:rPr>
          <w:color w:val="000000" w:themeColor="text1"/>
          <w14:textFill>
            <w14:solidFill>
              <w14:schemeClr w14:val="tx1"/>
            </w14:solidFill>
          </w14:textFill>
        </w:rPr>
        <w:t xml:space="preserve">ZJZ/CX-4 设施和环境条件控制程序</w:t>
      </w:r>
      <w:bookmarkEnd w:id="18"/>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保证作业环境满足法律法规以及认证准则、技术标准的要求，减少因环境条件对检验检测结果造成的影响，确保检验检测数据的准确性和有效性，对可能影响检验检测结果的环境和设施进行有效控制，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适用于实验室活动所涉及的环境条件的控制。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最高管理者/站长：负责实验室环境条件控制所需资源的配置。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技术负责人：负责组织检验检测项目环境控制条件表，负责对环境条件偏离的审批。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质量负责人：负责组织对环境条件的监督检查。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检验检测人员：负责本岗位环境控制设施的日常使用、维护、监控和检查。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安全管理员：负责对安全相关设施及环境条件的监督检查。</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设施和环境基本条件要求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设施包括但不限于：用于检验检测的设施和环境条件包括但不限于能源、照明、通风、空调、防震台、消防、报警等设施及控制环境条件的资源，实验室的设施和环境条件控制应从以下方面考虑，当检验检测项目和/或所用的检验检测设备涉及时，应遵照执行:</w:t>
      </w:r>
      <w:r>
        <w:rPr>
          <w:color w:val="000000" w:themeColor="text1"/>
          <w14:textFill>
            <w14:solidFill>
              <w14:schemeClr w14:val="tx1"/>
            </w14:solidFill>
          </w14:textFill>
        </w:rPr>
      </w:r>
    </w:p>
    <w:p>
      <w:pPr>
        <w:pStyle w:val="1996"/>
        <w:numPr>
          <w:ilvl w:val="0"/>
          <w:numId w:val="3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法律法规、技术标准及方法的要求，不同技术标准或检测项目要求可能涉及温度、湿度、照明、电力供应、震动等因素。</w:t>
      </w:r>
      <w:r>
        <w:rPr>
          <w:color w:val="000000" w:themeColor="text1"/>
          <w14:textFill>
            <w14:solidFill>
              <w14:schemeClr w14:val="tx1"/>
            </w14:solidFill>
          </w14:textFill>
        </w:rPr>
      </w:r>
    </w:p>
    <w:p>
      <w:pPr>
        <w:pStyle w:val="1996"/>
        <w:numPr>
          <w:ilvl w:val="0"/>
          <w:numId w:val="3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设备对环境条件的要求（如设备说明书中的安装条件、运行条件等）。</w:t>
      </w:r>
      <w:r>
        <w:rPr>
          <w:color w:val="000000" w:themeColor="text1"/>
          <w14:textFill>
            <w14:solidFill>
              <w14:schemeClr w14:val="tx1"/>
            </w14:solidFill>
          </w14:textFill>
        </w:rPr>
      </w:r>
    </w:p>
    <w:p>
      <w:pPr>
        <w:pStyle w:val="1996"/>
        <w:numPr>
          <w:ilvl w:val="0"/>
          <w:numId w:val="3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如果检验检测项目和/或所用的检验检测设备对静电敏感，应安装适当防静电工作台面、防静电地板、接地设施以及其他防静电用品。</w:t>
      </w:r>
      <w:r>
        <w:rPr>
          <w:color w:val="000000" w:themeColor="text1"/>
          <w14:textFill>
            <w14:solidFill>
              <w14:schemeClr w14:val="tx1"/>
            </w14:solidFill>
          </w14:textFill>
        </w:rPr>
      </w:r>
    </w:p>
    <w:p>
      <w:pPr>
        <w:pStyle w:val="1996"/>
        <w:numPr>
          <w:ilvl w:val="0"/>
          <w:numId w:val="3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如果检验检测项目和/或所用的检验检测设备对气候环境敏感或有特殊要求，例如湿度，大气压力等，则应有满足特殊要求的特殊环境设施或措施。</w:t>
      </w:r>
      <w:r>
        <w:rPr>
          <w:color w:val="000000" w:themeColor="text1"/>
          <w14:textFill>
            <w14:solidFill>
              <w14:schemeClr w14:val="tx1"/>
            </w14:solidFill>
          </w14:textFill>
        </w:rPr>
      </w:r>
    </w:p>
    <w:p>
      <w:pPr>
        <w:pStyle w:val="1996"/>
        <w:numPr>
          <w:ilvl w:val="0"/>
          <w:numId w:val="3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本站应配备足够的电源容量，并满足检验检测设备的要求， 如功率负荷、电压额定值、频率额定值等，大功率设备应考虑配备满足负荷的专线；检验检测设备电源应独立于空调、照明电源的单独回路供电。</w:t>
      </w:r>
      <w:r>
        <w:rPr>
          <w:color w:val="000000" w:themeColor="text1"/>
          <w14:textFill>
            <w14:solidFill>
              <w14:schemeClr w14:val="tx1"/>
            </w14:solidFill>
          </w14:textFill>
        </w:rPr>
      </w:r>
    </w:p>
    <w:p>
      <w:pPr>
        <w:pStyle w:val="1996"/>
        <w:numPr>
          <w:ilvl w:val="0"/>
          <w:numId w:val="3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根据各实验间的功能和用途，充分考虑电源、采光、采暖、通风等相关要求，配置相适应的设施。如检验检测操作区域应提供充分照明， 一般实验室照明度应不低于 300lx。</w:t>
      </w:r>
      <w:r>
        <w:rPr>
          <w:color w:val="000000" w:themeColor="text1"/>
          <w14:textFill>
            <w14:solidFill>
              <w14:schemeClr w14:val="tx1"/>
            </w14:solidFill>
          </w14:textFill>
        </w:rPr>
      </w:r>
    </w:p>
    <w:p>
      <w:pPr>
        <w:pStyle w:val="1996"/>
        <w:numPr>
          <w:ilvl w:val="0"/>
          <w:numId w:val="3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若相邻区域的工作存在不相容时，应采取有效的隔离措施，防止相互影响和样品交叉污染。</w:t>
      </w:r>
      <w:r>
        <w:rPr>
          <w:color w:val="000000" w:themeColor="text1"/>
          <w14:textFill>
            <w14:solidFill>
              <w14:schemeClr w14:val="tx1"/>
            </w14:solidFill>
          </w14:textFill>
        </w:rPr>
      </w:r>
    </w:p>
    <w:p>
      <w:pPr>
        <w:pStyle w:val="1996"/>
        <w:numPr>
          <w:ilvl w:val="0"/>
          <w:numId w:val="3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如果检验检测项目和/或所用的检验检测设备产生有毒有害气体时，应安装通风设备，确保废气排放畅通，废气排放符合环保规定。</w:t>
      </w:r>
      <w:r>
        <w:rPr>
          <w:color w:val="000000" w:themeColor="text1"/>
          <w14:textFill>
            <w14:solidFill>
              <w14:schemeClr w14:val="tx1"/>
            </w14:solidFill>
          </w14:textFill>
        </w:rPr>
      </w:r>
    </w:p>
    <w:p>
      <w:pPr>
        <w:pStyle w:val="1996"/>
        <w:numPr>
          <w:ilvl w:val="0"/>
          <w:numId w:val="3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样品或标准物质保存环境应配置相应的设施满足标准或规定的要求。</w:t>
      </w:r>
      <w:r>
        <w:rPr>
          <w:color w:val="000000" w:themeColor="text1"/>
          <w14:textFill>
            <w14:solidFill>
              <w14:schemeClr w14:val="tx1"/>
            </w14:solidFill>
          </w14:textFill>
        </w:rPr>
      </w:r>
    </w:p>
    <w:p>
      <w:pPr>
        <w:pStyle w:val="1996"/>
        <w:numPr>
          <w:ilvl w:val="0"/>
          <w:numId w:val="3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如果检测项目涉及时，工作场所接触的化学有害因素，包括化学物质、粉尘和生物因素，其在工作场所空气中的浓度应不超过</w:t>
      </w:r>
      <w:r>
        <w:fldChar w:fldCharType="begin"/>
      </w:r>
      <w:r>
        <w:instrText xml:space="preserve"> HYPERLINK "https://pqsuhhq8yu6.feishu.cn/wiki/SXeZwHCIiiWm36k2xsDcfR7Nnre" \h </w:instrText>
      </w:r>
      <w:r>
        <w:fldChar w:fldCharType="separate"/>
      </w:r>
      <w:r>
        <w:rPr>
          <w:color w:val="000000" w:themeColor="text1"/>
          <w14:textFill>
            <w14:solidFill>
              <w14:schemeClr w14:val="tx1"/>
            </w14:solidFill>
          </w14:textFill>
        </w:rPr>
        <w:t xml:space="preserve">GBZ 2.1-2019 工作场所有害因素职业接触限值 第1部分：化学有害因素</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所规定的限值。</w:t>
      </w:r>
      <w:r>
        <w:rPr>
          <w:color w:val="000000" w:themeColor="text1"/>
          <w14:textFill>
            <w14:solidFill>
              <w14:schemeClr w14:val="tx1"/>
            </w14:solidFill>
          </w14:textFill>
        </w:rPr>
      </w:r>
    </w:p>
    <w:p>
      <w:pPr>
        <w:pStyle w:val="1996"/>
        <w:numPr>
          <w:ilvl w:val="0"/>
          <w:numId w:val="4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如果检测项目涉及时，工作场所接触的物理因素，包括:超高频辐射、高频电磁场、工频电场、激光辐射(包括紫 外线、可见光、红外线、远红外线）、微波辐射、紫外辐射、高温作业、噪声和手传振动等，应不超过</w:t>
      </w:r>
      <w:r>
        <w:fldChar w:fldCharType="begin"/>
      </w:r>
      <w:r>
        <w:instrText xml:space="preserve"> HYPERLINK "https://pqsuhhq8yu6.feishu.cn/wiki/Ay0WwV7qjiK8kHkBBYRcWttwn7d" \h </w:instrText>
      </w:r>
      <w:r>
        <w:fldChar w:fldCharType="separate"/>
      </w:r>
      <w:r>
        <w:rPr>
          <w:color w:val="000000" w:themeColor="text1"/>
          <w14:textFill>
            <w14:solidFill>
              <w14:schemeClr w14:val="tx1"/>
            </w14:solidFill>
          </w14:textFill>
        </w:rPr>
        <w:t xml:space="preserve">GBZ 2.2-2007 《工作场所有害因素职业接触限制  第2部分  物理因素》</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所规定的限值。</w:t>
      </w:r>
      <w:r>
        <w:rPr>
          <w:color w:val="000000" w:themeColor="text1"/>
          <w14:textFill>
            <w14:solidFill>
              <w14:schemeClr w14:val="tx1"/>
            </w14:solidFill>
          </w14:textFill>
        </w:rPr>
      </w:r>
    </w:p>
    <w:p>
      <w:pPr>
        <w:pStyle w:val="1996"/>
        <w:numPr>
          <w:ilvl w:val="0"/>
          <w:numId w:val="4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仪器设备地线接地电阻应符合设备规定要求，对有需求的大型精密设备配不间断电源，以保证连续供电。</w:t>
      </w:r>
      <w:r>
        <w:rPr>
          <w:color w:val="000000" w:themeColor="text1"/>
          <w14:textFill>
            <w14:solidFill>
              <w14:schemeClr w14:val="tx1"/>
            </w14:solidFill>
          </w14:textFill>
        </w:rPr>
      </w:r>
    </w:p>
    <w:p>
      <w:pPr>
        <w:pStyle w:val="1996"/>
        <w:numPr>
          <w:ilvl w:val="0"/>
          <w:numId w:val="4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对进入和使用影响检验检测工作质量的区域加以控制、标识和提示。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设施和环境条件控制的配置和监控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最高管理者或站长根据设施和环境条件的要求，结合本站检验检测项目实际配置相应的设施和控制环境条件的资源。配置的原则是确保满足相关法律法规和检验检测标准要求、实验室安全和人员操作安全要求。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技术负责人组织实验室室主任依据检测技术标准（包括正式出版物），设备说明书，特殊场所其他要求，编制各实验室</w:t>
      </w:r>
      <w:r>
        <w:fldChar w:fldCharType="begin"/>
      </w:r>
      <w:r>
        <w:instrText xml:space="preserve"> HYPERLINK "https://pqsuhhq8yu6.feishu.cn/wiki/PRShwyVkEishpdkUSQxcEt3Mn4b" \h </w:instrText>
      </w:r>
      <w:r>
        <w:fldChar w:fldCharType="separate"/>
      </w:r>
      <w:r>
        <w:rPr>
          <w:color w:val="000000" w:themeColor="text1"/>
          <w:highlight w:val="yellow"/>
          <w14:textFill>
            <w14:solidFill>
              <w14:schemeClr w14:val="tx1"/>
            </w14:solidFill>
          </w14:textFill>
        </w:rPr>
        <w:t xml:space="preserve">ZJZ/JL 04-2 </w:t>
      </w:r>
      <w:r>
        <w:rPr>
          <w:rFonts w:hint="eastAsia"/>
          <w:color w:val="000000" w:themeColor="text1"/>
          <w:highlight w:val="yellow"/>
          <w14:textFill>
            <w14:solidFill>
              <w14:schemeClr w14:val="tx1"/>
            </w14:solidFill>
          </w14:textFill>
        </w:rPr>
        <w:t xml:space="preserve">实验室环境条件控制要求/检查记录表</w:t>
      </w:r>
      <w:r>
        <w:rPr>
          <w:rFonts w:hint="eastAsia"/>
          <w:color w:val="000000" w:themeColor="text1"/>
          <w:highlight w:val="yellow"/>
          <w14:textFill>
            <w14:solidFill>
              <w14:schemeClr w14:val="tx1"/>
            </w14:solidFill>
          </w14:textFill>
        </w:rPr>
        <w:fldChar w:fldCharType="end"/>
      </w:r>
      <w:r>
        <w:rPr>
          <w:color w:val="000000" w:themeColor="text1"/>
          <w:highlight w:val="yellow"/>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在实验室固定设施以外的场所进行检验检测工作时，环境条件也必须满足相关标准、方法、仪器工作条件等要求。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在有关技术规范、方法标准和程序所要求的环境条件对检验检测结果有影响时，须对环境条件进行监测、控制和记录。对环境有要求的实验间应配备相应的环境监测仪器设备，并按期检定/校准。检验检测人员在开展检验检测前对环境条件进行检查，填写</w:t>
      </w:r>
      <w:r>
        <w:fldChar w:fldCharType="begin"/>
      </w:r>
      <w:r>
        <w:instrText xml:space="preserve"> HYPERLINK "https://pqsuhhq8yu6.feishu.cn/wiki/VvAEwsfs4icFapkZRnFcBfOrnxd" \h </w:instrText>
      </w:r>
      <w:r>
        <w:fldChar w:fldCharType="separate"/>
      </w:r>
      <w:r>
        <w:rPr>
          <w:color w:val="000000" w:themeColor="text1"/>
          <w14:textFill>
            <w14:solidFill>
              <w14:schemeClr w14:val="tx1"/>
            </w14:solidFill>
          </w14:textFill>
        </w:rPr>
        <w:t xml:space="preserve">ZJZ/JL 04-1 环境监控记录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。如发现检验检测环境条件不符合要求时，应及时进行调整以满足要求。当环境条件不能调整并危及检验检测结果时，应停止现场工作，并向技术负责人报告，以采取有效措施。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本站的作业场所每月开展职业病危害因素检测，安全管理员组织各岗位检验检测人员定期更新职业危害因素监控数据。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安全管理员每月开展安全检查，检查内容包括应急消防、监测报警等设备设施。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对进入控制区域的人员严格限制，原则上实验区与办公区要保持有良好的隔离， 并加贴</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受控区域、授权进入</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或等同标识，无关人员未经批准不随意进入实验区域，尤其是有特殊环境要求的区域应有警示，并严格限制人员的进出，以免影响环境的稳定性和检验检测工作的安全。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4.2.8 当设施和环境条件不满足检验检测活动需要时，实验室室主任提出对设施和环境条件的配置、改造或维修要求，形成文件，上报技术负责人。技术负责人组织相关人员对其要求的合理性进行审核，并上报实验检测技术中心生产运行室申请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质量负责人组织实验室室主任通过人员监督、内审等措施，对环境条件开展检查确认。发现环境条件或设施配备不符合要求时，执行</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。必要时责令检验检测人员终止检验检测活动，并向技术负责人报告，采取有效措施，并对此间出具的检验检测数据的有效性进行分析处理。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4.2.10 本站对工作场所具有完全的使用权，并能提供证明文件。本站的固定实验场所全权使用由实验检测技术中心综合管理室与油田公司综合管理部联系，办理油田公司证明文件，证明文件中的工作场所地址应与检验检测机构资质认定申请书中的地址一致。证明文件见质量手册</w:t>
      </w:r>
      <w:r>
        <w:fldChar w:fldCharType="begin"/>
      </w:r>
      <w:r>
        <w:instrText xml:space="preserve"> HYPERLINK "https://pqsuhhq8yu6.feishu.cn/wiki/XIudwpm1wi7psakJD9fcYJ7kngf" \h </w:instrText>
      </w:r>
      <w:r>
        <w:fldChar w:fldCharType="separate"/>
      </w:r>
      <w:r>
        <w:rPr>
          <w:color w:val="000000" w:themeColor="text1"/>
          <w14:textFill>
            <w14:solidFill>
              <w14:schemeClr w14:val="tx1"/>
            </w14:solidFill>
          </w14:textFill>
        </w:rPr>
        <w:t xml:space="preserve">5.10 固定场所使用权证明</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相关文件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"https://pqsuhhq8yu6.feishu.cn/wiki/SXeZwHCIiiWm36k2xsDcfR7Nnre" \h </w:instrText>
      </w:r>
      <w:r>
        <w:fldChar w:fldCharType="separate"/>
      </w:r>
      <w:r>
        <w:rPr>
          <w:color w:val="000000" w:themeColor="text1"/>
          <w14:textFill>
            <w14:solidFill>
              <w14:schemeClr w14:val="tx1"/>
            </w14:solidFill>
          </w14:textFill>
        </w:rPr>
        <w:t xml:space="preserve">GBZ 2.1-2019 《工作场所有害因素职业接触限值 第1部分：化学有害因素》</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"https://pqsuhhq8yu6.feishu.cn/wiki/Ay0WwV7qjiK8kHkBBYRcWttwn7d" \h </w:instrText>
      </w:r>
      <w:r>
        <w:fldChar w:fldCharType="separate"/>
      </w:r>
      <w:r>
        <w:rPr>
          <w:color w:val="000000" w:themeColor="text1"/>
          <w14:textFill>
            <w14:solidFill>
              <w14:schemeClr w14:val="tx1"/>
            </w14:solidFill>
          </w14:textFill>
        </w:rPr>
        <w:t xml:space="preserve">GBZ 2.2-2007 《工作场所有害因素职业接触限制  第2部分  物理因素》</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"https://pqsuhhq8yu6.feishu.cn/wiki/PRShwyVkEishpdkUSQxcEt3Mn4b" \h </w:instrText>
      </w:r>
      <w:r>
        <w:fldChar w:fldCharType="separate"/>
      </w:r>
      <w:r>
        <w:rPr>
          <w:color w:val="000000" w:themeColor="text1"/>
          <w14:textFill>
            <w14:solidFill>
              <w14:schemeClr w14:val="tx1"/>
            </w14:solidFill>
          </w14:textFill>
        </w:rPr>
        <w:t xml:space="preserve">ZJZ/JL 04-1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环境监控记录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"https://pqsuhhq8yu6.feishu.cn/wiki/VvAEwsfs4icFapkZRnFcBfOrnxd" \h </w:instrText>
      </w:r>
      <w:r>
        <w:fldChar w:fldCharType="separate"/>
      </w:r>
      <w:r>
        <w:rPr>
          <w:color w:val="000000" w:themeColor="text1"/>
          <w14:textFill>
            <w14:solidFill>
              <w14:schemeClr w14:val="tx1"/>
            </w14:solidFill>
          </w14:textFill>
        </w:rPr>
        <w:t xml:space="preserve">ZJZ/JL 04-2 </w:t>
      </w:r>
      <w:r>
        <w:rPr>
          <w:rFonts w:hint="eastAsia"/>
          <w:color w:val="000000" w:themeColor="text1"/>
          <w14:textFill>
            <w14:solidFill>
              <w14:schemeClr w14:val="tx1"/>
            </w14:solidFill>
          </w14:textFill>
        </w:rPr>
        <w:t xml:space="preserve">实验室环境条件控制要求/检查记录表</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19" w:name="_Toc25297"/>
      <w:r>
        <w:rPr>
          <w:color w:val="000000" w:themeColor="text1"/>
          <w14:textFill>
            <w14:solidFill>
              <w14:schemeClr w14:val="tx1"/>
            </w14:solidFill>
          </w14:textFill>
        </w:rPr>
        <w:t xml:space="preserve">ZJZ/CX-5 设备管理程序</w:t>
      </w:r>
      <w:bookmarkEnd w:id="19"/>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对本站检验检测仪器设备进行有效的控制与管理，以保证检验检测结果的准确可靠。</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本程序适用于本站所有设备、计量器具、标准物质等的申请购置、验收、使用、维护保养、标识、维修、报废等。</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最高管理者/站长：负责本站设备和设施资源的配置。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技术负责人/质量负责人：负责组织本站设备管理小组对仪器设备申购计划、报废计划的审核。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实验室室主任：负责组织本室设备采购计划的编制、设备调研、技术规格书的编制、参与设备的验收；负责组织配合开展设备检定/校准工作；负责组织本室设备检定/校准的计量确认。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检验检测人员：负责本岗位设备设施的日常使用、维护保养、报修，负责设备的期间核查及计量确认。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设备管理员：负责组织设备采购计划的汇总、设备维修的审核、组织设备的到货验收、组织设备设施检定/校准的实施以及设备台账、档案的建立及更新。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3.6 材料管理员：负责组织试剂、检验用中间材料、消耗品的验收。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w:t>
      </w:r>
      <w:r>
        <w:rPr>
          <w:b/>
          <w:color w:val="000000" w:themeColor="text1"/>
          <w14:textFill>
            <w14:solidFill>
              <w14:schemeClr w14:val="tx1"/>
            </w14:solidFill>
          </w14:textFill>
        </w:rPr>
        <w:t xml:space="preserve">设备</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设备包括但不限于测量仪器、软件、测量标准、标准物质、参考数据、试剂、检验用中间材料、消耗品、辅助设备或相应组合装置。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设备设施的购置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最高管理者或站长为质量检测站配备满足检验检测（包括抽样、样品制备、数据处理与分析）要求的设备设施。本站不使用非本站的设备设施，不租用设备开展检验检测，不使用永久控制以外的设备。</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各实验室室主任根据检验检测需求提出设备购置计划，填写</w:t>
      </w:r>
      <w:r>
        <w:fldChar w:fldCharType="begin"/>
      </w:r>
      <w:r>
        <w:instrText xml:space="preserve"> HYPERLINK "https://pqsuhhq8yu6.feishu.cn/wiki/RAOJw6uViiJrHxkekKWcLPMdnHb" \h </w:instrText>
      </w:r>
      <w:r>
        <w:fldChar w:fldCharType="separate"/>
      </w:r>
      <w:r>
        <w:rPr>
          <w:color w:val="000000" w:themeColor="text1"/>
          <w14:textFill>
            <w14:solidFill>
              <w14:schemeClr w14:val="tx1"/>
            </w14:solidFill>
          </w14:textFill>
        </w:rPr>
        <w:t xml:space="preserve">ZJZ/JL 05-1 设备采购需求分析表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，报设备管理员汇总，由技术负责人/质量负责人组织质量检测站设备管理小组审核后，上报实验检测技术中心生产运行室。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设备设施的选型</w:t>
      </w:r>
      <w:r>
        <w:rPr>
          <w:color w:val="000000" w:themeColor="text1"/>
          <w14:textFill>
            <w14:solidFill>
              <w14:schemeClr w14:val="tx1"/>
            </w14:solidFill>
          </w14:textFill>
        </w:rPr>
      </w:r>
    </w:p>
    <w:p>
      <w:pPr>
        <w:pBdr/>
        <w:spacing/>
        <w:ind w:firstLine="440"/>
        <w:rPr>
          <w:color w:val="000000" w:themeColor="text1"/>
          <w14:textFill>
            <w14:solidFill>
              <w14:schemeClr w14:val="tx1"/>
            </w14:solidFill>
          </w14:textFill>
        </w:rPr>
      </w:pPr>
      <w:r>
        <w:rPr>
          <w:color w:val="000000" w:themeColor="text1"/>
          <w14:textFill>
            <w14:solidFill>
              <w14:schemeClr w14:val="tx1"/>
            </w14:solidFill>
          </w14:textFill>
        </w:rPr>
        <w:t xml:space="preserve">设备采购计划下达后，实验室室主任对照技术方法标准要求和调研设备设施详细配置及配套装置，包括所需辅助设备设施、软件、标准物质等，编写技术规格书，经技术负责人审批后报实验检测技术中心生产运行室设备管理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设备设施的验收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设备到货后由实验检测技术中心生产运行室通知站设备管理员，由设备管理员组织实验室相关人员验收，填写</w:t>
      </w:r>
      <w:r>
        <w:fldChar w:fldCharType="begin"/>
      </w:r>
      <w:r>
        <w:instrText xml:space="preserve"> HYPERLINK "https://pqsuhhq8yu6.feishu.cn/wiki/T0WJwflQxiv8tZkiJrHctZAxnPe" \h </w:instrText>
      </w:r>
      <w:r>
        <w:fldChar w:fldCharType="separate"/>
      </w:r>
      <w:r>
        <w:rPr>
          <w:color w:val="000000" w:themeColor="text1"/>
          <w14:textFill>
            <w14:solidFill>
              <w14:schemeClr w14:val="tx1"/>
            </w14:solidFill>
          </w14:textFill>
        </w:rPr>
        <w:t xml:space="preserve">ZJZ/JL 05-2 设备验收单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，验收内容如下：</w:t>
      </w:r>
      <w:r>
        <w:rPr>
          <w:color w:val="000000" w:themeColor="text1"/>
          <w14:textFill>
            <w14:solidFill>
              <w14:schemeClr w14:val="tx1"/>
            </w14:solidFill>
          </w14:textFill>
        </w:rPr>
      </w:r>
    </w:p>
    <w:p>
      <w:pPr>
        <w:pStyle w:val="1996"/>
        <w:numPr>
          <w:ilvl w:val="0"/>
          <w:numId w:val="4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检查包装是否完好无损，整机完整性与外观检查，检查主机、附件与合同及装箱单是否一致，使用说明书等技术资料是否齐全。</w:t>
      </w:r>
      <w:r>
        <w:rPr>
          <w:color w:val="000000" w:themeColor="text1"/>
          <w14:textFill>
            <w14:solidFill>
              <w14:schemeClr w14:val="tx1"/>
            </w14:solidFill>
          </w14:textFill>
        </w:rPr>
      </w:r>
    </w:p>
    <w:p>
      <w:pPr>
        <w:pStyle w:val="1996"/>
        <w:numPr>
          <w:ilvl w:val="0"/>
          <w:numId w:val="4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根据合同规定的技术要求和相应的标准、规程、使用说明书等对仪器设备的性能及技术指标进行质量验收。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设备安装调试完成后，一个月内由实验室主任组织岗位人员完成设备性能验收、设备调试运行报告和设备操作规程/实施细则的编写。调试试运行报告由技术负责人审核；操作规程/实施细则质量负责人审核，技术负责人批准发布实施，并按文件控制程序执行。设施由实验检测技术中心生产运行室按照合同要求组织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计量器具（玻璃器皿）、标准物质、试剂等到货后，物资材料岗组织形式验收并入库，与检测结果直接相关的计量器具、试剂、原材料等通知实验室主任组织质量验收。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设备档案管理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设备验收合格后，设备管理员组织岗位检验检测人员对检验检测结果有影响的仪器均列入实验室设备清单，并建立设备技术档案，更新</w:t>
      </w:r>
      <w:r>
        <w:fldChar w:fldCharType="begin"/>
      </w:r>
      <w:r>
        <w:instrText xml:space="preserve"> HYPERLINK "https://pqsuhhq8yu6.feishu.cn/wiki/LQORwDuYYiBeYAkENZkc2qv9nPc" \h </w:instrText>
      </w:r>
      <w:r>
        <w:fldChar w:fldCharType="separate"/>
      </w:r>
      <w:r>
        <w:rPr>
          <w:color w:val="000000" w:themeColor="text1"/>
          <w14:textFill>
            <w14:solidFill>
              <w14:schemeClr w14:val="tx1"/>
            </w14:solidFill>
          </w14:textFill>
        </w:rPr>
        <w:t xml:space="preserve">ZJZ/JL 05-13 设备台账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，保持账物一致。设备档案包括以下内容：</w:t>
      </w:r>
      <w:r>
        <w:rPr>
          <w:color w:val="000000" w:themeColor="text1"/>
          <w14:textFill>
            <w14:solidFill>
              <w14:schemeClr w14:val="tx1"/>
            </w14:solidFill>
          </w14:textFill>
        </w:rPr>
      </w:r>
    </w:p>
    <w:p>
      <w:pPr>
        <w:pStyle w:val="1996"/>
        <w:numPr>
          <w:ilvl w:val="0"/>
          <w:numId w:val="45"/>
        </w:numPr>
        <w:pBdr/>
        <w:spacing/>
        <w:ind/>
        <w:rPr>
          <w:color w:val="000000" w:themeColor="text1"/>
          <w14:textFill>
            <w14:solidFill>
              <w14:schemeClr w14:val="tx1"/>
            </w14:solidFill>
          </w14:textFill>
        </w:rPr>
      </w:pPr>
      <w:r>
        <w:fldChar w:fldCharType="begin"/>
      </w:r>
      <w:r>
        <w:instrText xml:space="preserve"> HYPERLINK "https://pqsuhhq8yu6.feishu.cn/wiki/AMY6wUc5jiPIDekeUkjcTmG1nDY" \h </w:instrText>
      </w:r>
      <w:r>
        <w:fldChar w:fldCharType="separate"/>
      </w:r>
      <w:r>
        <w:rPr>
          <w:color w:val="000000" w:themeColor="text1"/>
          <w14:textFill>
            <w14:solidFill>
              <w14:schemeClr w14:val="tx1"/>
            </w14:solidFill>
          </w14:textFill>
        </w:rPr>
        <w:t xml:space="preserve"> ZJZ/JL 05-12 设备履历档案</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、仪器厂家说明书、随机软件、出厂合格证、验收报告、</w:t>
      </w:r>
      <w:r>
        <w:fldChar w:fldCharType="begin"/>
      </w:r>
      <w:r>
        <w:instrText xml:space="preserve"> HYPERLINK "https://pqsuhhq8yu6.feishu.cn/wiki/UCGTwRIGJi9NlRkH34rc9Otznzf" \h </w:instrText>
      </w:r>
      <w:r>
        <w:fldChar w:fldCharType="separate"/>
      </w:r>
      <w:r>
        <w:rPr>
          <w:color w:val="000000" w:themeColor="text1"/>
          <w14:textFill>
            <w14:solidFill>
              <w14:schemeClr w14:val="tx1"/>
            </w14:solidFill>
          </w14:textFill>
        </w:rPr>
        <w:t xml:space="preserve">ZJZ/JL 05-11 设备运行调试报告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、检定或校准证书及验证记录、维护保养记录、随机附件证明等，适用时，可以包括技术规格书、标准物质文件、可研报告等。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设备管理员要掌握设备动态，做好设备的新增、调入、调出、报废工作，及时组织做好设备管理数据库的维护工作，确保帐物相符。当新增设备投入使用后1个月内，由设备管理员组织岗位人员及时上报实验检测技术中心生产运行室设备管理岗完成资产转资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设备及计量器具的检定/校准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技术负责人组织实验室室主任编制本站</w:t>
      </w:r>
      <w:r>
        <w:fldChar w:fldCharType="begin"/>
      </w:r>
      <w:r>
        <w:instrText xml:space="preserve"> HYPERLINK "https://pqsuhhq8yu6.feishu.cn/wiki/Hwh3wc1hZiNZPrkttgDcCo9gnXd" \h </w:instrText>
      </w:r>
      <w:r>
        <w:fldChar w:fldCharType="separate"/>
      </w:r>
      <w:r>
        <w:rPr>
          <w:color w:val="000000" w:themeColor="text1"/>
          <w14:textFill>
            <w14:solidFill>
              <w14:schemeClr w14:val="tx1"/>
            </w14:solidFill>
          </w14:textFill>
        </w:rPr>
        <w:t xml:space="preserve">ZJZ/JL 05-14 设备/计量器具/压力仪表/标准物质检定/校准</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 xml:space="preserve">台账</w:t>
      </w:r>
      <w:r>
        <w:rPr>
          <w:color w:val="000000" w:themeColor="text1"/>
          <w14:textFill>
            <w14:solidFill>
              <w14:schemeClr w14:val="tx1"/>
            </w14:solidFill>
          </w14:textFill>
        </w:rPr>
        <w:t xml:space="preserve">，并对相关信息进行动态更新，保证台账、实物、检定/校准信息相符。台账应包括仪器设备名称、设备编号、规格型号、使用部门、使用场所、生产厂家、出厂编号、ABC分类、检定/校准周期、检定/校准日期等。按照设备、计量器具、压力仪表、标准物质等类型分类建账和管理。</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4.6.2 设备分类按照</w:t>
            </w:r>
            <w:r>
              <w:rPr>
                <w:rFonts w:hint="default"/>
              </w:rPr>
              <w:fldChar w:fldCharType="begin"/>
            </w:r>
            <w:r>
              <w:rPr>
                <w:rFonts w:hint="default"/>
              </w:rPr>
              <w:instrText xml:space="preserve"> HYPERLINK "https://pqsuhhq8yu6.feishu.cn/wiki/HUWOwZuw9iqAv6kLjyLcH9aOnoh" \h </w:instrText>
            </w:r>
            <w:r>
              <w:rPr>
                <w:rFonts w:hint="default"/>
              </w:rPr>
              <w:fldChar w:fldCharType="separate"/>
            </w:r>
            <w:r>
              <w:rPr>
                <w:rFonts w:hint="default"/>
                <w:color w:val="000000" w:themeColor="text1"/>
                <w14:textFill>
                  <w14:solidFill>
                    <w14:schemeClr w14:val="tx1"/>
                  </w14:solidFill>
                </w14:textFill>
              </w:rPr>
              <w:t xml:space="preserve">Q/SH 0100.1-2020 计量管理与考核规范 第1部分：油田企业</w:t>
            </w:r>
            <w:r>
              <w:rPr>
                <w:rFonts w:hint="default"/>
                <w:color w:val="000000" w:themeColor="text1"/>
                <w14:textFill>
                  <w14:solidFill>
                    <w14:schemeClr w14:val="tx1"/>
                  </w14:solidFill>
                </w14:textFill>
              </w:rPr>
              <w:fldChar w:fldCharType="end"/>
            </w:r>
            <w:r>
              <w:rPr>
                <w:rFonts w:hint="default"/>
                <w:color w:val="000000" w:themeColor="text1"/>
                <w14:textFill>
                  <w14:solidFill>
                    <w14:schemeClr w14:val="tx1"/>
                  </w14:solidFill>
                </w14:textFill>
              </w:rPr>
              <w:t xml:space="preserve">要求，分为A、B、C三类：</w:t>
            </w:r>
            <w:r>
              <w:rPr>
                <w:rFonts w:hint="default"/>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040"/>
            </w:tblGrid>
            <w:tr>
              <w:trPr/>
              <w:tc>
                <w:tcPr>
                  <w:shd w:val="clear" w:color="auto" w:fill="fff5eb"/>
                  <w:tcBorders/>
                  <w:tcMar>
                    <w:left w:w="120" w:type="dxa"/>
                    <w:top w:w="60" w:type="dxa"/>
                    <w:right w:w="120" w:type="dxa"/>
                    <w:bottom w:w="30" w:type="dxa"/>
                  </w:tcMar>
                  <w:tcW w:w="804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A类设备及计量器具</w:t>
                  </w:r>
                  <w:r>
                    <w:rPr>
                      <w:rFonts w:hint="default"/>
                      <w:color w:val="000000" w:themeColor="text1"/>
                      <w14:textFill>
                        <w14:solidFill>
                          <w14:schemeClr w14:val="tx1"/>
                        </w14:solidFill>
                      </w14:textFill>
                    </w:rPr>
                  </w:r>
                </w:p>
                <w:p>
                  <w:pPr>
                    <w:pStyle w:val="1996"/>
                    <w:keepNext w:val="false"/>
                    <w:keepLines w:val="false"/>
                    <w:numPr>
                      <w:ilvl w:val="0"/>
                      <w:numId w:val="4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强检设备及计量器具，社会公用计量标准器具，企业最高计量标准器具，以及用于贸易结算、安全防护、医疗卫生、环境监测方面并列入《实施强制管理的计量器具目录》且监管方式为 V（强制检定）和 P+V（型式批准+强制检定）的计量器具，使用中应接受强制检定。</w:t>
                  </w:r>
                  <w:r>
                    <w:rPr>
                      <w:rFonts w:hint="default"/>
                      <w:color w:val="000000" w:themeColor="text1"/>
                      <w14:textFill>
                        <w14:solidFill>
                          <w14:schemeClr w14:val="tx1"/>
                        </w14:solidFill>
                      </w14:textFill>
                    </w:rPr>
                  </w:r>
                </w:p>
                <w:p>
                  <w:pPr>
                    <w:pStyle w:val="1996"/>
                    <w:keepNext w:val="false"/>
                    <w:keepLines w:val="false"/>
                    <w:numPr>
                      <w:ilvl w:val="0"/>
                      <w:numId w:val="4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Q/SH 0100.1-2020中附录C中列出的设备及计量器具。</w:t>
                  </w:r>
                  <w:r>
                    <w:rPr>
                      <w:rFonts w:hint="default"/>
                      <w:color w:val="000000" w:themeColor="text1"/>
                      <w14:textFill>
                        <w14:solidFill>
                          <w14:schemeClr w14:val="tx1"/>
                        </w14:solidFill>
                      </w14:textFill>
                    </w:rPr>
                  </w:r>
                </w:p>
                <w:p>
                  <w:pPr>
                    <w:pStyle w:val="1996"/>
                    <w:keepNext w:val="false"/>
                    <w:keepLines w:val="false"/>
                    <w:numPr>
                      <w:ilvl w:val="0"/>
                      <w:numId w:val="48"/>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非强检设备及计量器具：直接用于中石化集团公司企业间交接的计量器具；企业次级计量标准器具；用于省级以上资质认定、实验室认可资质范围内项目检测的计量器具；其他用于工程质量监测、生产安全防护等关键过程的计量器具。</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B类设备及计量器具</w:t>
                  </w:r>
                  <w:r>
                    <w:rPr>
                      <w:rFonts w:hint="default"/>
                      <w:color w:val="000000" w:themeColor="text1"/>
                      <w14:textFill>
                        <w14:solidFill>
                          <w14:schemeClr w14:val="tx1"/>
                        </w14:solidFill>
                      </w14:textFill>
                    </w:rPr>
                  </w:r>
                </w:p>
                <w:p>
                  <w:pPr>
                    <w:pStyle w:val="1996"/>
                    <w:keepNext w:val="false"/>
                    <w:keepLines w:val="false"/>
                    <w:numPr>
                      <w:ilvl w:val="0"/>
                      <w:numId w:val="49"/>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用于企业二级单位间交接的计量器具；用于二级单位内部经营管理、指标考核的计量器具；用于企业实验室内部计量认可资质范围内项目检测的计量器具；用于自主校准的标准计量器具；用于其他关键工艺控制、重点过程监测的计量器具。</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C类设备及计量器具</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用于一般过程、状态监视或指示的计量器具；计量性能稳定、易耗易碎的计量器具（强检计量器具除外）；计量性能稳定、使用频次低、准确性要求低的计量器具；嵌入装置、不便拆卸、准确性要求低的计量器具。</w:t>
                  </w:r>
                  <w:r>
                    <w:rPr>
                      <w:rFonts w:hint="default"/>
                      <w:color w:val="000000" w:themeColor="text1"/>
                      <w14:textFill>
                        <w14:solidFill>
                          <w14:schemeClr w14:val="tx1"/>
                        </w14:solidFill>
                      </w14:textFill>
                    </w:rPr>
                  </w:r>
                </w:p>
              </w:tc>
            </w:tr>
          </w:tbl>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4.6.3 计量器具的检定（校准）周期应按其管理类别和使用状况确定并实施。A类计量器具按检定证书出具的有效期或校准证书建议的校准间隔执行。B、C 类计量器具由企业二级单位根据使用环境和重要程度，参照 JJF 1139 《计量器具检定周期确定原则和方法》的原则确定校准间隔（检定周期）。</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4.6.4 每年年初，由技术负责人组织设备管理员、实验室室主任编制</w:t>
      </w:r>
      <w:r>
        <w:fldChar w:fldCharType="begin"/>
      </w:r>
      <w:r>
        <w:instrText xml:space="preserve"> HYPERLINK "https://pqsuhhq8yu6.feishu.cn/wiki/BypOwO7SniRRqokMvdEcgtaonT7" \h </w:instrText>
      </w:r>
      <w:r>
        <w:fldChar w:fldCharType="separate"/>
      </w:r>
      <w:r>
        <w:rPr>
          <w:color w:val="000000" w:themeColor="text1"/>
          <w14:textFill>
            <w14:solidFill>
              <w14:schemeClr w14:val="tx1"/>
            </w14:solidFill>
          </w14:textFill>
        </w:rPr>
        <w:t xml:space="preserve">ZJZ/JL 05-15 设备</w:t>
      </w:r>
      <w:r>
        <w:rPr>
          <w:rFonts w:hint="eastAsia"/>
          <w:color w:val="000000" w:themeColor="text1"/>
          <w14:textFill>
            <w14:solidFill>
              <w14:schemeClr w14:val="tx1"/>
            </w14:solidFill>
          </w14:textFill>
        </w:rPr>
        <w:t xml:space="preserve">和计量器具</w:t>
      </w:r>
      <w:r>
        <w:rPr>
          <w:color w:val="000000" w:themeColor="text1"/>
          <w14:textFill>
            <w14:solidFill>
              <w14:schemeClr w14:val="tx1"/>
            </w14:solidFill>
          </w14:textFill>
        </w:rPr>
        <w:t xml:space="preserve">检定/校准</w:t>
      </w:r>
      <w:r>
        <w:rPr>
          <w:rFonts w:hint="eastAsia"/>
          <w:color w:val="000000" w:themeColor="text1"/>
          <w14:textFill>
            <w14:solidFill>
              <w14:schemeClr w14:val="tx1"/>
            </w14:solidFill>
          </w14:textFill>
        </w:rPr>
        <w:t xml:space="preserve">计划表</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，对需要检定/校准的设备名称、检定/校准的测量点等信息进行明确。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4.6.5 现场检定时，实验室室主任组织检验检测人员按照设备检定/校准需求表配合现场检定校准人员开展工作。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4.6.6 设备检定/校准完成后，技术负责人组织各实验室主任、检验检测人员对本岗位的设备计量确认。填写</w:t>
      </w:r>
      <w:r>
        <w:fldChar w:fldCharType="begin"/>
      </w:r>
      <w:r>
        <w:instrText xml:space="preserve"> HYPERLINK "https://pqsuhhq8yu6.feishu.cn/wiki/AnlrwUMSwiDAeRkgkqtcIa66nEb" \h </w:instrText>
      </w:r>
      <w:r>
        <w:fldChar w:fldCharType="separate"/>
      </w:r>
      <w:r>
        <w:rPr>
          <w:color w:val="000000" w:themeColor="text1"/>
          <w14:textFill>
            <w14:solidFill>
              <w14:schemeClr w14:val="tx1"/>
            </w14:solidFill>
          </w14:textFill>
        </w:rPr>
        <w:t xml:space="preserve">ZJZ/JL 05-3 </w:t>
      </w:r>
      <w:r>
        <w:rPr>
          <w:rFonts w:hint="eastAsia"/>
          <w:color w:val="000000" w:themeColor="text1"/>
          <w14:textFill>
            <w14:solidFill>
              <w14:schemeClr w14:val="tx1"/>
            </w14:solidFill>
          </w14:textFill>
        </w:rPr>
        <w:t xml:space="preserve">检定/校准确认记录</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，计量确认包括以下内容：</w:t>
      </w:r>
      <w:r>
        <w:rPr>
          <w:color w:val="000000" w:themeColor="text1"/>
          <w14:textFill>
            <w14:solidFill>
              <w14:schemeClr w14:val="tx1"/>
            </w14:solidFill>
          </w14:textFill>
        </w:rPr>
      </w:r>
    </w:p>
    <w:p>
      <w:pPr>
        <w:pStyle w:val="1996"/>
        <w:numPr>
          <w:ilvl w:val="0"/>
          <w:numId w:val="5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检查证书的类型、单位名称、设备名称、设备编号、房间号、检定校准日期、检定校准结论、有无校准因子等；</w:t>
      </w:r>
      <w:r>
        <w:rPr>
          <w:color w:val="000000" w:themeColor="text1"/>
          <w14:textFill>
            <w14:solidFill>
              <w14:schemeClr w14:val="tx1"/>
            </w14:solidFill>
          </w14:textFill>
        </w:rPr>
      </w:r>
    </w:p>
    <w:p>
      <w:pPr>
        <w:pStyle w:val="1996"/>
        <w:numPr>
          <w:ilvl w:val="0"/>
          <w:numId w:val="5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检定校准结果是否满足方法标准的要求。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注1：设备检定/校准是否合格的判定依据是检定/校准规程，检定/校准结果确认（能否投入使用）的判定依据是技术标准或规范。判定依据不同，结论不一定相同，因此不能用检定/校准结论代替检定/校准结果确认的结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注2：若设备校准结果符合某准确度等级要求（或合格），但不符合所开展项目的检测/校准方法的要求，则该设备不满足要求；相反，若设备的校准结果不符合某准确度等级要求（或不合格），但校准结果符合检测/校准方法要求，则该设备满足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4.6.7 计量确认合格的设备，由设备管理员组织检验检测人员粘贴</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计量确认合格证</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，保存计量确认/检查表至设备档案。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4.6.8 未列入设备检定/校准周期表的其他辅助设备，由技术负责人每年组织一次设备检查确认，按照技术说明书或设备出厂参数进行检查。填写</w:t>
      </w:r>
      <w:r>
        <w:fldChar w:fldCharType="begin"/>
      </w:r>
      <w:r>
        <w:instrText xml:space="preserve"> HYPERLINK "https://pqsuhhq8yu6.feishu.cn/wiki/AnlrwUMSwiDAeRkgkqtcIa66nEb" \h </w:instrText>
      </w:r>
      <w:r>
        <w:fldChar w:fldCharType="separate"/>
      </w:r>
      <w:r>
        <w:rPr>
          <w:color w:val="000000" w:themeColor="text1"/>
          <w14:textFill>
            <w14:solidFill>
              <w14:schemeClr w14:val="tx1"/>
            </w14:solidFill>
          </w14:textFill>
        </w:rPr>
        <w:t xml:space="preserve">ZJZ/JL 05-4 </w:t>
      </w:r>
      <w:r>
        <w:rPr>
          <w:rFonts w:hint="eastAsia"/>
          <w:color w:val="000000" w:themeColor="text1"/>
          <w14:textFill>
            <w14:solidFill>
              <w14:schemeClr w14:val="tx1"/>
            </w14:solidFill>
          </w14:textFill>
        </w:rPr>
        <w:t xml:space="preserve">辅助设备检查确认记录</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，确认合格后，由岗位人员粘贴</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计量确认合格证</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4.6.9 各实验室室主任在新设备投入使用前组织开展检定或校准工作。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4.6.10 设备故障维修后填写</w:t>
      </w:r>
      <w:r>
        <w:fldChar w:fldCharType="begin"/>
      </w:r>
      <w:r>
        <w:instrText xml:space="preserve"> HYPERLINK "https://pqsuhhq8yu6.feishu.cn/wiki/AnlrwUMSwiDAeRkgkqtcIa66nEb" \h </w:instrText>
      </w:r>
      <w:r>
        <w:fldChar w:fldCharType="separate"/>
      </w:r>
      <w:r>
        <w:rPr>
          <w:color w:val="000000" w:themeColor="text1"/>
          <w14:textFill>
            <w14:solidFill>
              <w14:schemeClr w14:val="tx1"/>
            </w14:solidFill>
          </w14:textFill>
        </w:rPr>
        <w:t xml:space="preserve">ZJZ/JL 05-9 </w:t>
      </w:r>
      <w:r>
        <w:rPr>
          <w:rFonts w:hint="eastAsia"/>
          <w:color w:val="000000" w:themeColor="text1"/>
          <w14:textFill>
            <w14:solidFill>
              <w14:schemeClr w14:val="tx1"/>
            </w14:solidFill>
          </w14:textFill>
        </w:rPr>
        <w:t xml:space="preserve">设备（仪器）</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 xml:space="preserve">修理质量确认单</w:t>
      </w:r>
      <w:r>
        <w:rPr>
          <w:color w:val="000000" w:themeColor="text1"/>
          <w14:textFill>
            <w14:solidFill>
              <w14:schemeClr w14:val="tx1"/>
            </w14:solidFill>
          </w14:textFill>
        </w:rPr>
        <w:t xml:space="preserve">，技术负责人审核后由交设备管理员存入设备档案。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4.6.11 若某些检验检测设备、计量器具不可能或不适宜溯源到国家计量基准时，通过证实对适当的测量标准的可追溯性来提供检验检测的可信度。可参考以下方式开展，本站应保留检验检测结果相关性和准确性的证据。</w:t>
      </w:r>
      <w:r>
        <w:rPr>
          <w:color w:val="000000" w:themeColor="text1"/>
          <w14:textFill>
            <w14:solidFill>
              <w14:schemeClr w14:val="tx1"/>
            </w14:solidFill>
          </w14:textFill>
        </w:rPr>
      </w:r>
    </w:p>
    <w:p>
      <w:pPr>
        <w:pStyle w:val="1996"/>
        <w:numPr>
          <w:ilvl w:val="0"/>
          <w:numId w:val="5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参加能力验证、有资质的实验室间比对；</w:t>
      </w:r>
      <w:r>
        <w:rPr>
          <w:color w:val="000000" w:themeColor="text1"/>
          <w14:textFill>
            <w14:solidFill>
              <w14:schemeClr w14:val="tx1"/>
            </w14:solidFill>
          </w14:textFill>
        </w:rPr>
      </w:r>
    </w:p>
    <w:p>
      <w:pPr>
        <w:pStyle w:val="1996"/>
        <w:numPr>
          <w:ilvl w:val="0"/>
          <w:numId w:val="5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使用有证标准物质来给出材料的可靠物理或化学特性；</w:t>
      </w:r>
      <w:r>
        <w:rPr>
          <w:color w:val="000000" w:themeColor="text1"/>
          <w14:textFill>
            <w14:solidFill>
              <w14:schemeClr w14:val="tx1"/>
            </w14:solidFill>
          </w14:textFill>
        </w:rPr>
      </w:r>
    </w:p>
    <w:p>
      <w:pPr>
        <w:pStyle w:val="1996"/>
        <w:numPr>
          <w:ilvl w:val="0"/>
          <w:numId w:val="5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通过社会公认计量标准溯源，以确保测量结果的准确性和可靠性；</w:t>
      </w:r>
      <w:r>
        <w:rPr>
          <w:color w:val="000000" w:themeColor="text1"/>
          <w14:textFill>
            <w14:solidFill>
              <w14:schemeClr w14:val="tx1"/>
            </w14:solidFill>
          </w14:textFill>
        </w:rPr>
      </w:r>
    </w:p>
    <w:p>
      <w:pPr>
        <w:pStyle w:val="1996"/>
        <w:numPr>
          <w:ilvl w:val="0"/>
          <w:numId w:val="5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经权威机构确认。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4.6.12 如果校准和标准物质数据中包含校准值、参考值或修正因子，实验室应将该参考值和修正因子在现场进行标注提示，确保在检测检验和数据处理过程中得到更新和应用，并保留相关记录。校准因子的使用，执行</w:t>
      </w:r>
      <w:r>
        <w:fldChar w:fldCharType="begin"/>
      </w:r>
      <w:r>
        <w:instrText xml:space="preserve"> HYPERLINK "https://pqsuhhq8yu6.feishu.cn/wiki/PPilwtEN3ibV88kQ4sAcTV7jn7e" \h </w:instrText>
      </w:r>
      <w:r>
        <w:fldChar w:fldCharType="separate"/>
      </w:r>
      <w:r>
        <w:rPr>
          <w:color w:val="000000" w:themeColor="text1"/>
          <w14:textFill>
            <w14:solidFill>
              <w14:schemeClr w14:val="tx1"/>
            </w14:solidFill>
          </w14:textFill>
        </w:rPr>
        <w:t xml:space="preserve">ZJZ/XZ 01 校准因子应用实施细则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 设备及计量器具标识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4.7.1 实验室对设备进行自编号，作为唯一性标识。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质量检测站设备自编号规则为：ZL-专业名称字母缩写+设备类别-设备顺序号。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其中ZL-代表质量监测站，YQ-代表油气产品实验室，YT-代表油田化学实验室，HJ-代表环境监测实验室，RH-代表润滑油实验室，C-代表主设备，F-代表辅助设备，R-代表软件，XXX-代表设备顺序号，以</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001，002……</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表示。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油气产品实验室主设备编号：ZL-YQC-XXX    辅助设备编号：ZL-YQF-XXX；</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油田化学实验室主设备编号：ZL-YTC-XXX    辅助设备编号：ZL-YTF-XXX；</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环境监测实验室主设备编号：ZL-HJC-XXX    辅助设备编号：ZL-HJF-XXX。</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润滑油实验室主设备编号：ZL-RHC-XXX    辅助设备编号：ZL-RHF-XXX。</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4.7.2 所有设备均实行标志管理，粘贴设备信息卡，设备信息卡内容包括认证分类、资产编号、ABC分类、设备名称、设备编号、规格型号、出厂编号、使用场所、责任人、生产厂家。具体见下图：</w:t>
      </w:r>
      <w:r>
        <w:rPr>
          <w:color w:val="000000" w:themeColor="text1"/>
          <w14:textFill>
            <w14:solidFill>
              <w14:schemeClr w14:val="tx1"/>
            </w14:solidFill>
          </w14:textFill>
        </w:rPr>
      </w:r>
    </w:p>
    <w:tbl>
      <w:tblPr>
        <w:tblStyle w:val="19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op w:w="0" w:type="dxa"/>
          <w:right w:w="0" w:type="dxa"/>
          <w:bottom w:w="0" w:type="dxa"/>
        </w:tblCellMar>
        <w:tblLook w:val="04A0" w:firstRow="1" w:lastRow="0" w:firstColumn="1" w:lastColumn="0" w:noHBand="0" w:noVBand="1"/>
      </w:tblPr>
      <w:tblGrid>
        <w:gridCol w:w="1129"/>
        <w:gridCol w:w="1935"/>
        <w:gridCol w:w="1326"/>
        <w:gridCol w:w="1698"/>
      </w:tblGrid>
      <w:tr>
        <w:trPr>
          <w:jc w:val="center"/>
          <w:trHeight w:val="444" w:hRule="exact"/>
        </w:trPr>
        <w:tc>
          <w:tcPr>
            <w:gridSpan w:val="4"/>
            <w:tcBorders/>
            <w:tcW w:w="6088"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eastAsia" w:ascii="黑体" w:eastAsia="黑体" w:cs="黑体"/>
                <w:b/>
                <w:bCs/>
                <w:highlight w:val="yellow"/>
              </w:rPr>
              <w:t xml:space="preserve">设备信息卡</w:t>
            </w:r>
            <w:r>
              <w:rPr>
                <w:rFonts w:hint="default"/>
                <w:highlight w:val="yellow"/>
              </w:rPr>
            </w:r>
          </w:p>
        </w:tc>
      </w:tr>
      <w:tr>
        <w:trPr>
          <w:jc w:val="center"/>
          <w:trHeight w:val="664" w:hRule="exact"/>
        </w:trPr>
        <w:tc>
          <w:tcPr>
            <w:gridSpan w:val="4"/>
            <w:tcBorders/>
            <w:tcW w:w="6088" w:type="dxa"/>
            <w:vAlign w:val="center"/>
            <w:textDirection w:val="lrTb"/>
            <w:noWrap w:val="false"/>
          </w:tcPr>
          <w:p>
            <w:pPr>
              <w:keepNext w:val="false"/>
              <w:keepLines w:val="false"/>
              <w:suppressLineNumbers w:val="false"/>
              <w:pBdr/>
              <w:spacing w:after="0" w:afterAutospacing="0" w:before="0" w:beforeAutospacing="0"/>
              <w:ind w:right="0" w:left="0"/>
              <w:rPr>
                <w:rFonts w:hint="default"/>
                <w:highlight w:val="yellow"/>
              </w:rPr>
            </w:pPr>
            <w:r>
              <w:rPr>
                <w:rFonts w:hint="eastAsia" w:ascii="宋体" w:eastAsia="宋体" w:cs="宋体"/>
                <w:b/>
                <w:bCs/>
                <w:sz w:val="20"/>
                <w:szCs w:val="20"/>
                <w:highlight w:val="yellow"/>
              </w:rPr>
              <w:t xml:space="preserve">认证分类</w:t>
            </w:r>
            <w:r>
              <w:rPr>
                <w:rFonts w:hint="default" w:ascii="宋体" w:eastAsia="宋体" w:cs="宋体"/>
                <w:b/>
                <w:bCs/>
                <w:spacing w:val="1"/>
                <w:sz w:val="20"/>
                <w:szCs w:val="20"/>
                <w:highlight w:val="yellow"/>
              </w:rPr>
              <w:t xml:space="preserve">          </w:t>
            </w:r>
            <w:r>
              <w:rPr>
                <w:rFonts w:hint="eastAsia" w:ascii="宋体" w:eastAsia="宋体" w:cs="宋体"/>
                <w:b/>
                <w:bCs/>
                <w:sz w:val="20"/>
                <w:szCs w:val="20"/>
                <w:highlight w:val="yellow"/>
              </w:rPr>
              <w:t xml:space="preserve">认证设备</w:t>
            </w:r>
            <w:r>
              <w:rPr>
                <w:rFonts w:hint="default" w:ascii="宋体" w:eastAsia="宋体" w:cs="宋体"/>
                <w:b/>
                <w:bCs/>
                <w:sz w:val="20"/>
                <w:szCs w:val="20"/>
                <w:highlight w:val="yellow"/>
              </w:rPr>
              <w:tab/>
            </w:r>
            <w:r>
              <w:rPr>
                <w:rFonts w:hint="default" w:ascii="宋体" w:eastAsia="宋体" w:cs="宋体"/>
                <w:position w:val="-4"/>
                <w:sz w:val="19"/>
                <w:szCs w:val="19"/>
                <w:highlight w:val="yellow"/>
              </w:rPr>
              <mc:AlternateContent>
                <mc:Choice Requires="wpg">
                  <w:drawing>
                    <wp:inline xmlns:wp="http://schemas.openxmlformats.org/drawingml/2006/wordprocessingDrawing" distT="0" distB="0" distL="0" distR="0">
                      <wp:extent cx="123825" cy="123825"/>
                      <wp:effectExtent l="3810" t="8255" r="5715" b="1270"/>
                      <wp:docPr id="5" name="组合 24"/>
                      <wp:cNvGraphicFramePr/>
                      <a:graphic xmlns:a="http://schemas.openxmlformats.org/drawingml/2006/main">
                        <a:graphicData uri="http://schemas.microsoft.com/office/word/2010/wordprocessingGroup">
                          <wpg:wgp>
                            <wpg:cNvGrpSpPr/>
                            <wpg:grpSpPr bwMode="auto">
                              <a:xfrm>
                                <a:off x="0" y="0"/>
                                <a:ext cx="123825" cy="123825"/>
                                <a:chOff x="0" y="0"/>
                                <a:chExt cx="195" cy="195"/>
                              </a:xfrm>
                            </wpg:grpSpPr>
                            <wps:wsp>
                              <wps:cNvPr id="0" name=""/>
                              <wps:cNvSpPr/>
                              <wps:spPr bwMode="auto">
                                <a:xfrm>
                                  <a:off x="7" y="7"/>
                                  <a:ext cx="180" cy="180"/>
                                </a:xfrm>
                                <a:custGeom>
                                  <a:avLst/>
                                  <a:gdLst>
                                    <a:gd name="T0" fmla="*/ 0 w 180"/>
                                    <a:gd name="T1" fmla="*/ 180 h 180"/>
                                    <a:gd name="T2" fmla="*/ 180 w 180"/>
                                    <a:gd name="T3" fmla="*/ 180 h 180"/>
                                    <a:gd name="T4" fmla="*/ 180 w 180"/>
                                    <a:gd name="T5" fmla="*/ 0 h 180"/>
                                    <a:gd name="T6" fmla="*/ 0 w 180"/>
                                    <a:gd name="T7" fmla="*/ 0 h 180"/>
                                    <a:gd name="T8" fmla="*/ 0 w 180"/>
                                    <a:gd name="T9" fmla="*/ 180 h 180"/>
                                  </a:gdLst>
                                  <a:ahLst/>
                                  <a:cxnLst>
                                    <a:cxn ang="0">
                                      <a:pos x="T0" y="T1"/>
                                    </a:cxn>
                                    <a:cxn ang="0">
                                      <a:pos x="T2" y="T3"/>
                                    </a:cxn>
                                    <a:cxn ang="0">
                                      <a:pos x="T4" y="T5"/>
                                    </a:cxn>
                                    <a:cxn ang="0">
                                      <a:pos x="T6" y="T7"/>
                                    </a:cxn>
                                    <a:cxn ang="0">
                                      <a:pos x="T8" y="T9"/>
                                    </a:cxn>
                                  </a:cxnLst>
                                  <a:rect l="0" t="0" r="r" b="b"/>
                                  <a:pathLst>
                                    <a:path w="180" h="180" fill="norm" stroke="1" extrusionOk="0">
                                      <a:moveTo>
                                        <a:pt x="0" y="180"/>
                                      </a:moveTo>
                                      <a:lnTo>
                                        <a:pt x="180" y="180"/>
                                      </a:lnTo>
                                      <a:lnTo>
                                        <a:pt x="180" y="0"/>
                                      </a:lnTo>
                                      <a:lnTo>
                                        <a:pt x="0" y="0"/>
                                      </a:lnTo>
                                      <a:lnTo>
                                        <a:pt x="0" y="180"/>
                                      </a:lnTo>
                                      <a:close/>
                                    </a:path>
                                  </a:pathLst>
                                </a:custGeom>
                                <a:noFill/>
                                <a:ln w="9525">
                                  <a:solidFill>
                                    <a:srgbClr val="000000"/>
                                  </a:solidFill>
                                  <a:round/>
                                </a:ln>
                              </wps:spPr>
                              <wps:bodyPr rot="0">
                                <a:prstTxWarp prst="textNoShape">
                                  <a:avLst/>
                                </a:prstTxWarp>
                                <a:noAutofit/>
                              </wps:bodyPr>
                            </wps:wsp>
                          </wpg:wgp>
                        </a:graphicData>
                      </a:graphic>
                    </wp:inline>
                  </w:drawing>
                </mc:Choice>
                <mc:Fallback>
                  <w:pict>
                    <v:group id="group 4" o:spid="_x0000_s0000" style="width:9.75pt;height:9.75pt;mso-wrap-distance-left:0.00pt;mso-wrap-distance-top:0.00pt;mso-wrap-distance-right:0.00pt;mso-wrap-distance-bottom:0.00pt;" coordorigin="0,0" coordsize="1,1">
                      <v:shape id="shape 5" o:spid="_x0000_s5" style="position:absolute;left:0;top:0;width:1;height:1;visibility:visible;" path="m0,100000l100000,100000l100000,0l0,0l0,100000xe" coordsize="100000,100000" filled="f" strokecolor="#000000" strokeweight="0.75pt">
                        <v:path textboxrect="0,0,100000,100000"/>
                      </v:shape>
                    </v:group>
                  </w:pict>
                </mc:Fallback>
              </mc:AlternateContent>
            </w:r>
            <w:r>
              <w:rPr>
                <w:rFonts w:hint="default" w:ascii="宋体" w:eastAsia="宋体" w:cs="宋体"/>
                <w:b/>
                <w:bCs/>
                <w:sz w:val="20"/>
                <w:szCs w:val="20"/>
                <w:highlight w:val="yellow"/>
              </w:rPr>
              <w:t xml:space="preserve">     </w:t>
            </w:r>
            <w:r>
              <w:rPr>
                <w:rFonts w:hint="eastAsia" w:ascii="宋体" w:eastAsia="宋体" w:cs="宋体"/>
                <w:b/>
                <w:bCs/>
                <w:sz w:val="20"/>
                <w:szCs w:val="20"/>
                <w:highlight w:val="yellow"/>
              </w:rPr>
              <w:t xml:space="preserve">非认证设备</w:t>
            </w:r>
            <w:r>
              <w:rPr>
                <w:rFonts w:hint="default" w:ascii="宋体" w:eastAsia="宋体" w:cs="宋体"/>
                <w:b/>
                <w:bCs/>
                <w:sz w:val="20"/>
                <w:szCs w:val="20"/>
                <w:highlight w:val="yellow"/>
              </w:rPr>
              <w:t xml:space="preserve"> </w:t>
            </w:r>
            <w:r>
              <w:rPr>
                <w:rFonts w:hint="default" w:ascii="宋体" w:eastAsia="宋体" w:cs="宋体"/>
                <w:position w:val="-4"/>
                <w:sz w:val="19"/>
                <w:szCs w:val="19"/>
                <w:highlight w:val="yellow"/>
              </w:rPr>
              <mc:AlternateContent>
                <mc:Choice Requires="wpg">
                  <w:drawing>
                    <wp:inline xmlns:wp="http://schemas.openxmlformats.org/drawingml/2006/wordprocessingDrawing" distT="0" distB="0" distL="0" distR="0">
                      <wp:extent cx="123825" cy="123825"/>
                      <wp:effectExtent l="3810" t="8255" r="5715" b="1270"/>
                      <wp:docPr id="6" name="组合 26"/>
                      <wp:cNvGraphicFramePr/>
                      <a:graphic xmlns:a="http://schemas.openxmlformats.org/drawingml/2006/main">
                        <a:graphicData uri="http://schemas.microsoft.com/office/word/2010/wordprocessingGroup">
                          <wpg:wgp>
                            <wpg:cNvGrpSpPr/>
                            <wpg:grpSpPr bwMode="auto">
                              <a:xfrm>
                                <a:off x="0" y="0"/>
                                <a:ext cx="123825" cy="123825"/>
                                <a:chOff x="0" y="0"/>
                                <a:chExt cx="195" cy="195"/>
                              </a:xfrm>
                            </wpg:grpSpPr>
                            <wps:wsp>
                              <wps:cNvPr id="0" name=""/>
                              <wps:cNvSpPr/>
                              <wps:spPr bwMode="auto">
                                <a:xfrm>
                                  <a:off x="7" y="7"/>
                                  <a:ext cx="180" cy="180"/>
                                </a:xfrm>
                                <a:custGeom>
                                  <a:avLst/>
                                  <a:gdLst>
                                    <a:gd name="T0" fmla="*/ 0 w 180"/>
                                    <a:gd name="T1" fmla="*/ 180 h 180"/>
                                    <a:gd name="T2" fmla="*/ 180 w 180"/>
                                    <a:gd name="T3" fmla="*/ 180 h 180"/>
                                    <a:gd name="T4" fmla="*/ 180 w 180"/>
                                    <a:gd name="T5" fmla="*/ 0 h 180"/>
                                    <a:gd name="T6" fmla="*/ 0 w 180"/>
                                    <a:gd name="T7" fmla="*/ 0 h 180"/>
                                    <a:gd name="T8" fmla="*/ 0 w 180"/>
                                    <a:gd name="T9" fmla="*/ 180 h 180"/>
                                  </a:gdLst>
                                  <a:ahLst/>
                                  <a:cxnLst>
                                    <a:cxn ang="0">
                                      <a:pos x="T0" y="T1"/>
                                    </a:cxn>
                                    <a:cxn ang="0">
                                      <a:pos x="T2" y="T3"/>
                                    </a:cxn>
                                    <a:cxn ang="0">
                                      <a:pos x="T4" y="T5"/>
                                    </a:cxn>
                                    <a:cxn ang="0">
                                      <a:pos x="T6" y="T7"/>
                                    </a:cxn>
                                    <a:cxn ang="0">
                                      <a:pos x="T8" y="T9"/>
                                    </a:cxn>
                                  </a:cxnLst>
                                  <a:rect l="0" t="0" r="r" b="b"/>
                                  <a:pathLst>
                                    <a:path w="180" h="180" fill="norm" stroke="1" extrusionOk="0">
                                      <a:moveTo>
                                        <a:pt x="0" y="180"/>
                                      </a:moveTo>
                                      <a:lnTo>
                                        <a:pt x="180" y="180"/>
                                      </a:lnTo>
                                      <a:lnTo>
                                        <a:pt x="180" y="0"/>
                                      </a:lnTo>
                                      <a:lnTo>
                                        <a:pt x="0" y="0"/>
                                      </a:lnTo>
                                      <a:lnTo>
                                        <a:pt x="0" y="180"/>
                                      </a:lnTo>
                                      <a:close/>
                                    </a:path>
                                  </a:pathLst>
                                </a:custGeom>
                                <a:noFill/>
                                <a:ln w="9525">
                                  <a:solidFill>
                                    <a:srgbClr val="000000"/>
                                  </a:solidFill>
                                  <a:round/>
                                </a:ln>
                              </wps:spPr>
                              <wps:bodyPr rot="0">
                                <a:prstTxWarp prst="textNoShape">
                                  <a:avLst/>
                                </a:prstTxWarp>
                                <a:noAutofit/>
                              </wps:bodyPr>
                            </wps:wsp>
                          </wpg:wgp>
                        </a:graphicData>
                      </a:graphic>
                    </wp:inline>
                  </w:drawing>
                </mc:Choice>
                <mc:Fallback>
                  <w:pict>
                    <v:group id="group 6" o:spid="_x0000_s0000" style="width:9.75pt;height:9.75pt;mso-wrap-distance-left:0.00pt;mso-wrap-distance-top:0.00pt;mso-wrap-distance-right:0.00pt;mso-wrap-distance-bottom:0.00pt;" coordorigin="0,0" coordsize="1,1">
                      <v:shape id="shape 7" o:spid="_x0000_s7" style="position:absolute;left:0;top:0;width:1;height:1;visibility:visible;" path="m0,100000l100000,100000l100000,0l0,0l0,100000xe" coordsize="100000,100000" filled="f" strokecolor="#000000" strokeweight="0.75pt">
                        <v:path textboxrect="0,0,100000,100000"/>
                      </v:shape>
                    </v:group>
                  </w:pict>
                </mc:Fallback>
              </mc:AlternateContent>
            </w:r>
            <w:r>
              <w:rPr>
                <w:rFonts w:hint="default"/>
                <w:highlight w:val="yellow"/>
              </w:rPr>
            </w:r>
          </w:p>
        </w:tc>
      </w:tr>
      <w:tr>
        <w:trPr>
          <w:jc w:val="center"/>
          <w:trHeight w:val="432" w:hRule="exact"/>
        </w:trPr>
        <w:tc>
          <w:tcPr>
            <w:tcBorders/>
            <w:tcW w:w="1129"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eastAsia" w:ascii="宋体" w:eastAsia="宋体" w:cs="宋体"/>
                <w:b/>
                <w:bCs/>
                <w:sz w:val="20"/>
                <w:szCs w:val="20"/>
                <w:highlight w:val="yellow"/>
              </w:rPr>
              <w:t xml:space="preserve">资产编号</w:t>
            </w:r>
            <w:r>
              <w:rPr>
                <w:rFonts w:hint="default"/>
                <w:highlight w:val="yellow"/>
              </w:rPr>
            </w:r>
          </w:p>
        </w:tc>
        <w:tc>
          <w:tcPr>
            <w:tcBorders/>
            <w:tcW w:w="1935"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default"/>
                <w:highlight w:val="yellow"/>
              </w:rPr>
            </w:r>
            <w:r>
              <w:rPr>
                <w:rFonts w:hint="default"/>
                <w:highlight w:val="yellow"/>
              </w:rPr>
            </w:r>
          </w:p>
        </w:tc>
        <w:tc>
          <w:tcPr>
            <w:tcBorders/>
            <w:tcW w:w="1326"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default" w:ascii="宋体" w:eastAsia="宋体" w:cs="宋体"/>
                <w:b/>
                <w:bCs/>
                <w:sz w:val="20"/>
                <w:szCs w:val="20"/>
                <w:highlight w:val="yellow"/>
              </w:rPr>
              <w:t xml:space="preserve">ABC</w:t>
            </w:r>
            <w:r>
              <w:rPr>
                <w:rFonts w:hint="default" w:ascii="宋体" w:eastAsia="宋体" w:cs="宋体"/>
                <w:b/>
                <w:bCs/>
                <w:spacing w:val="-52"/>
                <w:sz w:val="20"/>
                <w:szCs w:val="20"/>
                <w:highlight w:val="yellow"/>
              </w:rPr>
              <w:t xml:space="preserve"> </w:t>
            </w:r>
            <w:r>
              <w:rPr>
                <w:rFonts w:hint="eastAsia" w:ascii="宋体" w:eastAsia="宋体" w:cs="宋体"/>
                <w:b/>
                <w:bCs/>
                <w:sz w:val="20"/>
                <w:szCs w:val="20"/>
                <w:highlight w:val="yellow"/>
              </w:rPr>
              <w:t xml:space="preserve">分类</w:t>
            </w:r>
            <w:r>
              <w:rPr>
                <w:rFonts w:hint="default"/>
                <w:highlight w:val="yellow"/>
              </w:rPr>
            </w:r>
          </w:p>
        </w:tc>
        <w:tc>
          <w:tcPr>
            <w:tcBorders/>
            <w:tcW w:w="1698" w:type="dxa"/>
            <w:vAlign w:val="center"/>
            <w:textDirection w:val="lrTb"/>
            <w:noWrap w:val="false"/>
          </w:tcPr>
          <w:p>
            <w:pPr>
              <w:pStyle w:val="2004"/>
              <w:keepNext w:val="false"/>
              <w:keepLines w:val="false"/>
              <w:suppressLineNumbers w:val="false"/>
              <w:pBdr/>
              <w:spacing w:afterAutospacing="0" w:beforeAutospacing="0"/>
              <w:ind w:right="0" w:firstLine="395" w:left="0"/>
              <w:jc w:val="center"/>
              <w:rPr>
                <w:rFonts w:hint="default"/>
                <w:highlight w:val="yellow"/>
              </w:rPr>
            </w:pPr>
            <w:r>
              <w:rPr>
                <w:rFonts w:hint="default"/>
                <w:highlight w:val="yellow"/>
              </w:rPr>
            </w:r>
            <w:r>
              <w:rPr>
                <w:rFonts w:hint="default"/>
                <w:highlight w:val="yellow"/>
              </w:rPr>
            </w:r>
          </w:p>
        </w:tc>
      </w:tr>
      <w:tr>
        <w:trPr>
          <w:jc w:val="center"/>
          <w:trHeight w:val="427" w:hRule="exact"/>
        </w:trPr>
        <w:tc>
          <w:tcPr>
            <w:tcBorders/>
            <w:tcW w:w="1129"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eastAsia" w:ascii="宋体" w:eastAsia="宋体" w:cs="宋体"/>
                <w:b/>
                <w:bCs/>
                <w:sz w:val="20"/>
                <w:szCs w:val="20"/>
                <w:highlight w:val="yellow"/>
              </w:rPr>
              <w:t xml:space="preserve">设备名称</w:t>
            </w:r>
            <w:r>
              <w:rPr>
                <w:rFonts w:hint="default"/>
                <w:highlight w:val="yellow"/>
              </w:rPr>
            </w:r>
          </w:p>
        </w:tc>
        <w:tc>
          <w:tcPr>
            <w:tcBorders/>
            <w:tcW w:w="1935"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default"/>
                <w:highlight w:val="yellow"/>
              </w:rPr>
            </w:r>
            <w:r>
              <w:rPr>
                <w:rFonts w:hint="default"/>
                <w:highlight w:val="yellow"/>
              </w:rPr>
            </w:r>
          </w:p>
        </w:tc>
        <w:tc>
          <w:tcPr>
            <w:tcBorders/>
            <w:tcW w:w="1326"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eastAsia" w:ascii="宋体" w:eastAsia="宋体" w:cs="宋体"/>
                <w:b/>
                <w:bCs/>
                <w:sz w:val="20"/>
                <w:szCs w:val="20"/>
                <w:highlight w:val="yellow"/>
              </w:rPr>
              <w:t xml:space="preserve">设备编号</w:t>
            </w:r>
            <w:r>
              <w:rPr>
                <w:rFonts w:hint="default"/>
                <w:highlight w:val="yellow"/>
              </w:rPr>
            </w:r>
          </w:p>
        </w:tc>
        <w:tc>
          <w:tcPr>
            <w:tcBorders/>
            <w:tcW w:w="1698" w:type="dxa"/>
            <w:vAlign w:val="center"/>
            <w:textDirection w:val="lrTb"/>
            <w:noWrap w:val="false"/>
          </w:tcPr>
          <w:p>
            <w:pPr>
              <w:pStyle w:val="2004"/>
              <w:keepNext w:val="false"/>
              <w:keepLines w:val="false"/>
              <w:suppressLineNumbers w:val="false"/>
              <w:pBdr/>
              <w:spacing w:afterAutospacing="0" w:beforeAutospacing="0"/>
              <w:ind w:right="0" w:firstLine="395" w:left="0"/>
              <w:jc w:val="center"/>
              <w:rPr>
                <w:rFonts w:hint="default"/>
                <w:highlight w:val="yellow"/>
              </w:rPr>
            </w:pPr>
            <w:r>
              <w:rPr>
                <w:rFonts w:hint="default"/>
                <w:highlight w:val="yellow"/>
              </w:rPr>
            </w:r>
            <w:r>
              <w:rPr>
                <w:rFonts w:hint="default"/>
                <w:highlight w:val="yellow"/>
              </w:rPr>
            </w:r>
          </w:p>
        </w:tc>
      </w:tr>
      <w:tr>
        <w:trPr>
          <w:jc w:val="center"/>
          <w:trHeight w:val="434" w:hRule="exact"/>
        </w:trPr>
        <w:tc>
          <w:tcPr>
            <w:tcBorders/>
            <w:tcW w:w="1129"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eastAsia" w:ascii="宋体" w:eastAsia="宋体" w:cs="宋体"/>
                <w:b/>
                <w:bCs/>
                <w:sz w:val="20"/>
                <w:szCs w:val="20"/>
                <w:highlight w:val="yellow"/>
              </w:rPr>
              <w:t xml:space="preserve">规格型号</w:t>
            </w:r>
            <w:r>
              <w:rPr>
                <w:rFonts w:hint="default"/>
                <w:highlight w:val="yellow"/>
              </w:rPr>
            </w:r>
          </w:p>
        </w:tc>
        <w:tc>
          <w:tcPr>
            <w:tcBorders/>
            <w:tcW w:w="1935"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default"/>
                <w:highlight w:val="yellow"/>
              </w:rPr>
            </w:r>
            <w:r>
              <w:rPr>
                <w:rFonts w:hint="default"/>
                <w:highlight w:val="yellow"/>
              </w:rPr>
            </w:r>
          </w:p>
        </w:tc>
        <w:tc>
          <w:tcPr>
            <w:tcBorders/>
            <w:tcW w:w="1326"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eastAsia" w:ascii="宋体" w:eastAsia="宋体" w:cs="宋体"/>
                <w:b/>
                <w:bCs/>
                <w:sz w:val="20"/>
                <w:szCs w:val="20"/>
                <w:highlight w:val="yellow"/>
              </w:rPr>
              <w:t xml:space="preserve">出厂编号</w:t>
            </w:r>
            <w:r>
              <w:rPr>
                <w:rFonts w:hint="default"/>
                <w:highlight w:val="yellow"/>
              </w:rPr>
            </w:r>
          </w:p>
        </w:tc>
        <w:tc>
          <w:tcPr>
            <w:tcBorders/>
            <w:tcW w:w="1698" w:type="dxa"/>
            <w:vAlign w:val="center"/>
            <w:textDirection w:val="lrTb"/>
            <w:noWrap w:val="false"/>
          </w:tcPr>
          <w:p>
            <w:pPr>
              <w:pStyle w:val="2004"/>
              <w:keepNext w:val="false"/>
              <w:keepLines w:val="false"/>
              <w:suppressLineNumbers w:val="false"/>
              <w:pBdr/>
              <w:spacing w:afterAutospacing="0" w:beforeAutospacing="0"/>
              <w:ind w:right="0" w:firstLine="395" w:left="0"/>
              <w:jc w:val="center"/>
              <w:rPr>
                <w:rFonts w:hint="default"/>
                <w:highlight w:val="yellow"/>
              </w:rPr>
            </w:pPr>
            <w:r>
              <w:rPr>
                <w:rFonts w:hint="default"/>
                <w:highlight w:val="yellow"/>
              </w:rPr>
            </w:r>
            <w:r>
              <w:rPr>
                <w:rFonts w:hint="default"/>
                <w:highlight w:val="yellow"/>
              </w:rPr>
            </w:r>
          </w:p>
        </w:tc>
      </w:tr>
      <w:tr>
        <w:trPr>
          <w:jc w:val="center"/>
          <w:trHeight w:val="416" w:hRule="exact"/>
        </w:trPr>
        <w:tc>
          <w:tcPr>
            <w:tcBorders/>
            <w:tcW w:w="1129"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eastAsia" w:ascii="宋体" w:eastAsia="宋体" w:cs="宋体"/>
                <w:b/>
                <w:bCs/>
                <w:sz w:val="20"/>
                <w:szCs w:val="20"/>
                <w:highlight w:val="yellow"/>
              </w:rPr>
              <w:t xml:space="preserve">使用场所</w:t>
            </w:r>
            <w:r>
              <w:rPr>
                <w:rFonts w:hint="default"/>
                <w:highlight w:val="yellow"/>
              </w:rPr>
            </w:r>
          </w:p>
        </w:tc>
        <w:tc>
          <w:tcPr>
            <w:tcBorders/>
            <w:tcW w:w="1935"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default"/>
                <w:highlight w:val="yellow"/>
              </w:rPr>
            </w:r>
            <w:r>
              <w:rPr>
                <w:rFonts w:hint="default"/>
                <w:highlight w:val="yellow"/>
              </w:rPr>
            </w:r>
          </w:p>
        </w:tc>
        <w:tc>
          <w:tcPr>
            <w:tcBorders/>
            <w:tcW w:w="1326"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highlight w:val="yellow"/>
              </w:rPr>
            </w:pPr>
            <w:r>
              <w:rPr>
                <w:rFonts w:hint="eastAsia" w:ascii="宋体" w:eastAsia="宋体" w:cs="宋体"/>
                <w:b/>
                <w:bCs/>
                <w:sz w:val="20"/>
                <w:szCs w:val="20"/>
                <w:highlight w:val="yellow"/>
              </w:rPr>
              <w:t xml:space="preserve">责</w:t>
            </w:r>
            <w:r>
              <w:rPr>
                <w:rFonts w:hint="default" w:ascii="宋体" w:eastAsia="宋体" w:cs="宋体"/>
                <w:b/>
                <w:bCs/>
                <w:sz w:val="20"/>
                <w:szCs w:val="20"/>
                <w:highlight w:val="yellow"/>
              </w:rPr>
              <w:t xml:space="preserve"> </w:t>
            </w:r>
            <w:r>
              <w:rPr>
                <w:rFonts w:hint="eastAsia" w:ascii="宋体" w:eastAsia="宋体" w:cs="宋体"/>
                <w:b/>
                <w:bCs/>
                <w:sz w:val="20"/>
                <w:szCs w:val="20"/>
                <w:highlight w:val="yellow"/>
              </w:rPr>
              <w:t xml:space="preserve">任</w:t>
            </w:r>
            <w:r>
              <w:rPr>
                <w:rFonts w:hint="default" w:ascii="宋体" w:eastAsia="宋体" w:cs="宋体"/>
                <w:b/>
                <w:bCs/>
                <w:spacing w:val="-2"/>
                <w:sz w:val="20"/>
                <w:szCs w:val="20"/>
                <w:highlight w:val="yellow"/>
              </w:rPr>
              <w:t xml:space="preserve"> </w:t>
            </w:r>
            <w:r>
              <w:rPr>
                <w:rFonts w:hint="eastAsia" w:ascii="宋体" w:eastAsia="宋体" w:cs="宋体"/>
                <w:b/>
                <w:bCs/>
                <w:sz w:val="20"/>
                <w:szCs w:val="20"/>
                <w:highlight w:val="yellow"/>
              </w:rPr>
              <w:t xml:space="preserve">人</w:t>
            </w:r>
            <w:r>
              <w:rPr>
                <w:rFonts w:hint="default"/>
                <w:highlight w:val="yellow"/>
              </w:rPr>
            </w:r>
          </w:p>
        </w:tc>
        <w:tc>
          <w:tcPr>
            <w:tcBorders/>
            <w:tcW w:w="1698" w:type="dxa"/>
            <w:vAlign w:val="center"/>
            <w:textDirection w:val="lrTb"/>
            <w:noWrap w:val="false"/>
          </w:tcPr>
          <w:p>
            <w:pPr>
              <w:pStyle w:val="2004"/>
              <w:keepNext w:val="false"/>
              <w:keepLines w:val="false"/>
              <w:suppressLineNumbers w:val="false"/>
              <w:pBdr/>
              <w:spacing w:afterAutospacing="0" w:beforeAutospacing="0"/>
              <w:ind w:right="0" w:firstLine="395" w:left="0"/>
              <w:jc w:val="center"/>
              <w:rPr>
                <w:rFonts w:hint="default"/>
                <w:highlight w:val="yellow"/>
              </w:rPr>
            </w:pPr>
            <w:r>
              <w:rPr>
                <w:rFonts w:hint="default"/>
                <w:highlight w:val="yellow"/>
              </w:rPr>
            </w:r>
            <w:r>
              <w:rPr>
                <w:rFonts w:hint="default"/>
                <w:highlight w:val="yellow"/>
              </w:rPr>
            </w:r>
          </w:p>
        </w:tc>
      </w:tr>
      <w:tr>
        <w:trPr>
          <w:jc w:val="center"/>
          <w:trHeight w:val="571" w:hRule="exact"/>
        </w:trPr>
        <w:tc>
          <w:tcPr>
            <w:tcBorders/>
            <w:tcW w:w="1129" w:type="dxa"/>
            <w:vAlign w:val="center"/>
            <w:textDirection w:val="lrTb"/>
            <w:noWrap w:val="false"/>
          </w:tcPr>
          <w:p>
            <w:pPr>
              <w:pStyle w:val="2004"/>
              <w:keepNext w:val="false"/>
              <w:keepLines w:val="false"/>
              <w:suppressLineNumbers w:val="false"/>
              <w:pBdr/>
              <w:spacing w:afterAutospacing="0" w:beforeAutospacing="0"/>
              <w:ind w:right="0" w:left="0"/>
              <w:jc w:val="center"/>
              <w:rPr>
                <w:rFonts w:hint="default"/>
              </w:rPr>
            </w:pPr>
            <w:r>
              <w:rPr>
                <w:rFonts w:hint="eastAsia" w:ascii="宋体" w:eastAsia="宋体" w:cs="宋体"/>
                <w:b/>
                <w:bCs/>
                <w:sz w:val="20"/>
                <w:szCs w:val="20"/>
                <w:highlight w:val="yellow"/>
              </w:rPr>
              <w:t xml:space="preserve">生产厂家</w:t>
            </w:r>
            <w:r>
              <w:rPr>
                <w:rFonts w:hint="default"/>
              </w:rPr>
            </w:r>
          </w:p>
        </w:tc>
        <w:tc>
          <w:tcPr>
            <w:gridSpan w:val="3"/>
            <w:tcBorders/>
            <w:tcW w:w="4959" w:type="dxa"/>
            <w:vAlign w:val="center"/>
            <w:textDirection w:val="lrTb"/>
            <w:noWrap w:val="false"/>
          </w:tcPr>
          <w:p>
            <w:pPr>
              <w:keepNext w:val="false"/>
              <w:keepLines w:val="false"/>
              <w:suppressLineNumbers w:val="false"/>
              <w:pBdr/>
              <w:spacing w:after="0" w:afterAutospacing="0" w:before="0" w:beforeAutospacing="0"/>
              <w:ind w:right="0" w:left="0"/>
              <w:jc w:val="center"/>
              <w:rPr>
                <w:rFonts w:hint="default"/>
              </w:rPr>
            </w:pPr>
            <w:r>
              <w:rPr>
                <w:rFonts w:hint="default"/>
              </w:rPr>
            </w:r>
            <w:r>
              <w:rPr>
                <w:rFonts w:hint="default"/>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3794125" cy="2276475"/>
                <wp:effectExtent l="0" t="0" r="0" b="9525"/>
                <wp:docPr id="7"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pic:cNvPicPr>
                          <a:picLocks noChangeAspect="1"/>
                        </pic:cNvPicPr>
                        <pic:nvPr/>
                      </pic:nvPicPr>
                      <pic:blipFill>
                        <a:blip r:embed="rId22"/>
                        <a:stretch/>
                      </pic:blipFill>
                      <pic:spPr bwMode="auto">
                        <a:xfrm>
                          <a:off x="0" y="0"/>
                          <a:ext cx="3795385" cy="22772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98.75pt;height:179.25pt;mso-wrap-distance-left:0.00pt;mso-wrap-distance-top:0.00pt;mso-wrap-distance-right:0.00pt;mso-wrap-distance-bottom:0.00pt;z-index:1;" stroked="false">
                <v:imagedata r:id="rId22" o:title=""/>
                <o:lock v:ext="edit" rotation="t"/>
              </v:shape>
            </w:pict>
          </mc:Fallback>
        </mc:AlternateConten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设备信息卡</w:t>
      </w:r>
      <w:r>
        <w:rPr>
          <w:color w:val="000000" w:themeColor="text1"/>
          <w14:textFill>
            <w14:solidFill>
              <w14:schemeClr w14:val="tx1"/>
            </w14:solidFill>
          </w14:textFill>
        </w:rPr>
        <w:b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4.7.3 设备采用绿色、黄色、红色三色标识管理。</w:t>
      </w:r>
      <w:r>
        <w:rPr>
          <w:color w:val="000000" w:themeColor="text1"/>
          <w14:textFill>
            <w14:solidFill>
              <w14:schemeClr w14:val="tx1"/>
            </w14:solidFill>
          </w14:textFill>
        </w:rPr>
      </w:r>
    </w:p>
    <w:p>
      <w:pPr>
        <w:pStyle w:val="1996"/>
        <w:numPr>
          <w:ilvl w:val="0"/>
          <w:numId w:val="5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绿色标识设备是经检定或校准、验证，确认其性能符合检测技术标准规定的使用要求。</w: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rFonts w:hint="eastAsia"/>
          <w:position w:val="-39"/>
          <w:sz w:val="20"/>
          <w:szCs w:val="20"/>
        </w:rPr>
        <mc:AlternateContent>
          <mc:Choice Requires="wpg">
            <w:drawing>
              <wp:inline xmlns:wp="http://schemas.openxmlformats.org/drawingml/2006/wordprocessingDrawing" distT="0" distB="0" distL="0" distR="0">
                <wp:extent cx="2009775" cy="1247775"/>
                <wp:effectExtent l="0" t="0" r="9525" b="9525"/>
                <wp:docPr id="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r/>
                      </pic:nvPicPr>
                      <pic:blipFill>
                        <a:blip r:embed="rId23"/>
                        <a:stretch/>
                      </pic:blipFill>
                      <pic:spPr bwMode="auto">
                        <a:xfrm>
                          <a:off x="0" y="0"/>
                          <a:ext cx="2009775" cy="124777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58.25pt;height:98.25pt;mso-wrap-distance-left:0.00pt;mso-wrap-distance-top:0.00pt;mso-wrap-distance-right:0.00pt;mso-wrap-distance-bottom:0.00pt;z-index:1;" stroked="f">
                <v:imagedata r:id="rId23" o:title=""/>
                <o:lock v:ext="edit" rotation="t"/>
              </v:shape>
            </w:pict>
          </mc:Fallback>
        </mc:AlternateConten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计量确认合格证</w: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mc:AlternateContent>
          <mc:Choice Requires="wpg">
            <w:drawing>
              <wp:inline xmlns:wp="http://schemas.openxmlformats.org/drawingml/2006/wordprocessingDrawing" distT="0" distB="0" distL="0" distR="0">
                <wp:extent cx="1924050" cy="1283335"/>
                <wp:effectExtent l="0" t="0" r="0" b="0"/>
                <wp:docPr id="9" name="图片 3" descr="C:\Users\dell\AppData\Roaming\SinopecSoftCustom\LxResource\Images\0880806010e8c189fc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dell\AppData\Roaming\SinopecSoftCustom\LxResource\Images\0880806010e8c189fc02.png"/>
                        <pic:cNvPicPr>
                          <a:picLocks noChangeAspect="1"/>
                        </pic:cNvPicPr>
                        <pic:nvPr/>
                      </pic:nvPicPr>
                      <pic:blipFill>
                        <a:blip r:embed="rId24"/>
                        <a:srcRect l="2563" t="4495" r="8168" b="10938"/>
                        <a:stretch/>
                      </pic:blipFill>
                      <pic:spPr bwMode="auto">
                        <a:xfrm>
                          <a:off x="0" y="0"/>
                          <a:ext cx="1971654" cy="1315677"/>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51.50pt;height:101.05pt;mso-wrap-distance-left:0.00pt;mso-wrap-distance-top:0.00pt;mso-wrap-distance-right:0.00pt;mso-wrap-distance-bottom:0.00pt;z-index:1;" stroked="f">
                <v:imagedata r:id="rId24" o:title="" croptop="2946f" cropleft="1680f" cropbottom="7168f" cropright="5353f"/>
                <o:lock v:ext="edit" rotation="t"/>
              </v:shape>
            </w:pict>
          </mc:Fallback>
        </mc:AlternateContent>
      </w:r>
      <w:r>
        <w:rPr>
          <w:color w:val="000000" w:themeColor="text1"/>
          <w14:textFill>
            <w14:solidFill>
              <w14:schemeClr w14:val="tx1"/>
            </w14:solidFill>
          </w14:textFill>
        </w:rPr>
      </w:r>
    </w:p>
    <w:p>
      <w:pPr>
        <w:pBdr/>
        <w:spacing/>
        <w:ind w:firstLine="1980"/>
        <w:rPr>
          <w:color w:val="000000" w:themeColor="text1"/>
          <w14:textFill>
            <w14:solidFill>
              <w14:schemeClr w14:val="tx1"/>
            </w14:solidFill>
          </w14:textFill>
        </w:rPr>
      </w:pPr>
      <w:r>
        <w:rPr>
          <w:color w:val="000000" w:themeColor="text1"/>
          <w14:textFill>
            <w14:solidFill>
              <w14:schemeClr w14:val="tx1"/>
            </w14:solidFill>
          </w14:textFill>
        </w:rPr>
        <w:t xml:space="preserve">              确认合格证</w:t>
      </w:r>
      <w:r>
        <w:rPr>
          <w:color w:val="000000" w:themeColor="text1"/>
          <w14:textFill>
            <w14:solidFill>
              <w14:schemeClr w14:val="tx1"/>
            </w14:solidFill>
          </w14:textFill>
        </w:rPr>
      </w:r>
    </w:p>
    <w:p>
      <w:pPr>
        <w:pStyle w:val="1996"/>
        <w:numPr>
          <w:ilvl w:val="0"/>
          <w:numId w:val="5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黄色（准用）：设备经检定/校准结果确认，发现设备存在部分缺陷或部分功能丧失，但可以在限定范围内使用；或校准后设备某一量程准确度不够，但检测所用量程合格，这样的设备可以做降级或限制量程使用。</w: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2235835" cy="1028700"/>
                <wp:effectExtent l="0" t="0" r="0" b="0"/>
                <wp:docPr id="10" name="Draw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3"/>
                        <pic:cNvPicPr>
                          <a:picLocks noChangeAspect="1"/>
                        </pic:cNvPicPr>
                        <pic:nvPr/>
                      </pic:nvPicPr>
                      <pic:blipFill>
                        <a:blip r:embed="rId25"/>
                        <a:stretch/>
                      </pic:blipFill>
                      <pic:spPr bwMode="auto">
                        <a:xfrm>
                          <a:off x="0" y="0"/>
                          <a:ext cx="2238873" cy="10298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76.05pt;height:81.00pt;mso-wrap-distance-left:0.00pt;mso-wrap-distance-top:0.00pt;mso-wrap-distance-right:0.00pt;mso-wrap-distance-bottom:0.00pt;z-index:1;" stroked="false">
                <v:imagedata r:id="rId25" o:title=""/>
                <o:lock v:ext="edit" rotation="t"/>
              </v:shape>
            </w:pict>
          </mc:Fallback>
        </mc:AlternateContent>
      </w:r>
      <w:r>
        <w:rPr>
          <w:color w:val="000000" w:themeColor="text1"/>
          <w14:textFill>
            <w14:solidFill>
              <w14:schemeClr w14:val="tx1"/>
            </w14:solidFill>
          </w14:textFill>
        </w:rPr>
        <w:br/>
      </w:r>
      <w:r>
        <w:rPr>
          <w:rFonts w:cs="Times New Roman"/>
        </w:rPr>
        <mc:AlternateContent>
          <mc:Choice Requires="wpg">
            <w:drawing>
              <wp:inline xmlns:wp="http://schemas.openxmlformats.org/drawingml/2006/wordprocessingDrawing" distT="0" distB="0" distL="0" distR="0">
                <wp:extent cx="1676400" cy="1308100"/>
                <wp:effectExtent l="0" t="0" r="0" b="6350"/>
                <wp:docPr id="1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r/>
                      </pic:nvPicPr>
                      <pic:blipFill>
                        <a:blip r:embed="rId26"/>
                        <a:stretch/>
                      </pic:blipFill>
                      <pic:spPr bwMode="auto">
                        <a:xfrm>
                          <a:off x="0" y="0"/>
                          <a:ext cx="1683747" cy="1314353"/>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32.00pt;height:103.00pt;mso-wrap-distance-left:0.00pt;mso-wrap-distance-top:0.00pt;mso-wrap-distance-right:0.00pt;mso-wrap-distance-bottom:0.00pt;z-index:1;" stroked="f">
                <v:imagedata r:id="rId26" o:title=""/>
                <o:lock v:ext="edit" rotation="t"/>
              </v:shape>
            </w:pict>
          </mc:Fallback>
        </mc:AlternateContent>
      </w:r>
      <w:r>
        <w:rPr>
          <w:rFonts w:cs="Times New Roman"/>
        </w:rPr>
        <mc:AlternateContent>
          <mc:Choice Requires="wpg">
            <w:drawing>
              <wp:inline xmlns:wp="http://schemas.openxmlformats.org/drawingml/2006/wordprocessingDrawing" distT="0" distB="0" distL="0" distR="0">
                <wp:extent cx="1684655" cy="1291590"/>
                <wp:effectExtent l="0" t="0" r="0" b="381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r/>
                      </pic:nvPicPr>
                      <pic:blipFill>
                        <a:blip r:embed="rId27"/>
                        <a:stretch/>
                      </pic:blipFill>
                      <pic:spPr bwMode="auto">
                        <a:xfrm>
                          <a:off x="0" y="0"/>
                          <a:ext cx="1690148" cy="129549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32.65pt;height:101.70pt;mso-wrap-distance-left:0.00pt;mso-wrap-distance-top:0.00pt;mso-wrap-distance-right:0.00pt;mso-wrap-distance-bottom:0.00pt;z-index:1;" stroked="f">
                <v:imagedata r:id="rId27" o:title=""/>
                <o:lock v:ext="edit" rotation="t"/>
              </v:shape>
            </w:pict>
          </mc:Fallback>
        </mc:AlternateContent>
      </w:r>
      <w:r>
        <w:rPr>
          <w:color w:val="000000" w:themeColor="text1"/>
          <w14:textFill>
            <w14:solidFill>
              <w14:schemeClr w14:val="tx1"/>
            </w14:solidFill>
          </w14:textFill>
        </w:rPr>
      </w:r>
    </w:p>
    <w:p>
      <w:pPr>
        <w:pBdr/>
        <w:spacing w:after="0" w:before="0"/>
        <w:ind/>
        <w:jc w:val="center"/>
        <w:rPr>
          <w:color w:val="000000" w:themeColor="text1"/>
          <w14:textFill>
            <w14:solidFill>
              <w14:schemeClr w14:val="tx1"/>
            </w14:solidFill>
          </w14:textFill>
        </w:rPr>
      </w:pPr>
      <w:r>
        <w:rPr>
          <w:color w:val="000000" w:themeColor="text1"/>
          <w14:textFill>
            <w14:solidFill>
              <w14:schemeClr w14:val="tx1"/>
            </w14:solidFill>
          </w14:textFill>
        </w:rPr>
        <w:t xml:space="preserve">准用标识</w:t>
      </w:r>
      <w:r>
        <w:rPr>
          <w:color w:val="000000" w:themeColor="text1"/>
          <w14:textFill>
            <w14:solidFill>
              <w14:schemeClr w14:val="tx1"/>
            </w14:solidFill>
          </w14:textFill>
        </w:rPr>
      </w:r>
    </w:p>
    <w:p>
      <w:pPr>
        <w:pStyle w:val="1996"/>
        <w:numPr>
          <w:ilvl w:val="0"/>
          <w:numId w:val="5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红色(停用)：设备目前状态不能使用于检测工作（新设备未经校准、故障、检定/校准不合格、性能无法确定、超过检定周期未检定、不符合检测技术标准规定的使用要求、封存、报废）</w: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2667000" cy="1066800"/>
                <wp:effectExtent l="0" t="0" r="0" b="0"/>
                <wp:docPr id="13"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4"/>
                        <pic:cNvPicPr>
                          <a:picLocks noChangeAspect="1"/>
                        </pic:cNvPicPr>
                        <pic:nvPr/>
                      </pic:nvPicPr>
                      <pic:blipFill>
                        <a:blip r:embed="rId28"/>
                        <a:stretch/>
                      </pic:blipFill>
                      <pic:spPr bwMode="auto">
                        <a:xfrm>
                          <a:off x="0" y="0"/>
                          <a:ext cx="2668641" cy="10674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0.00pt;height:84.00pt;mso-wrap-distance-left:0.00pt;mso-wrap-distance-top:0.00pt;mso-wrap-distance-right:0.00pt;mso-wrap-distance-bottom:0.00pt;z-index:1;" stroked="false">
                <v:imagedata r:id="rId28" o:title=""/>
                <o:lock v:ext="edit" rotation="t"/>
              </v:shape>
            </w:pict>
          </mc:Fallback>
        </mc:AlternateConten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w:t xml:space="preserve">停用标识</w:t>
      </w:r>
      <w:r>
        <w:rPr>
          <w:color w:val="000000" w:themeColor="text1"/>
          <w14:textFill>
            <w14:solidFill>
              <w14:schemeClr w14:val="tx1"/>
            </w14:solidFill>
          </w14:textFill>
        </w:rPr>
        <w:b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4.7.4 对于C类不需检定或校准的设备，经确认，其性能符合检测技术标准规定的使用要求，张贴确认合格证。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 设备的使用和维护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4.8.1 所有设备应根据设备运行条件和技术标准的要求配备相应的设施和环境，保证数据准确、安全处置、使用和维护，确保设备正常运行，避免设备损坏或污染。</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4.8.2 设备的使用人员应按</w:t>
      </w:r>
      <w:r>
        <w:fldChar w:fldCharType="begin"/>
      </w:r>
      <w:r>
        <w:instrText xml:space="preserve"> HYPERLINK "https://pqsuhhq8yu6.feishu.cn/wiki/Ca8kwtd4ziBnlakqsv0c68a6nNd" \h </w:instrText>
      </w:r>
      <w:r>
        <w:fldChar w:fldCharType="separate"/>
      </w:r>
      <w:r>
        <w:rPr>
          <w:color w:val="000000" w:themeColor="text1"/>
          <w14:textFill>
            <w14:solidFill>
              <w14:schemeClr w14:val="tx1"/>
            </w14:solidFill>
          </w14:textFill>
        </w:rPr>
        <w:t xml:space="preserve">ZJZ/CX-3 人员管理与培训程序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的要求经过技术培训、考核合格、技术负责人授权后方可上岗操作。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4.8.3 检验检测人员使用设备应按操作规程执行，并及时记录设备运行情况，填写</w:t>
      </w:r>
      <w:r>
        <w:fldChar w:fldCharType="begin"/>
      </w:r>
      <w:r>
        <w:instrText xml:space="preserve"> HYPERLINK "https://pqsuhhq8yu6.feishu.cn/wiki/GPm0wnrqyiA37bkqJVnc1gKxnkM" \h </w:instrText>
      </w:r>
      <w:r>
        <w:fldChar w:fldCharType="separate"/>
      </w:r>
      <w:r>
        <w:rPr>
          <w:color w:val="000000" w:themeColor="text1"/>
          <w14:textFill>
            <w14:solidFill>
              <w14:schemeClr w14:val="tx1"/>
            </w14:solidFill>
          </w14:textFill>
        </w:rPr>
        <w:t xml:space="preserve">ZJZ/JL 05-5 设备运行记录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运行记录中填写仪器运行状况，如检测样品，则应填写检测样品编号，保证样品检测能够溯源。设备的使用环境必须满足说明书及检测工作的要求，如方法标准对设施环境有要求时，需记录环境监测情况。当发现异常立即停止运行，及时上报实验室室主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4.8.4 检验检测人员负责设备的日常维护保养，按照仪器设备保养规程(或仪器设备三规程一图表)的保养频次进行维护保养，保证检验检测设备处于完好状态，填写 </w:t>
      </w:r>
      <w:r>
        <w:fldChar w:fldCharType="begin"/>
      </w:r>
      <w:r>
        <w:instrText xml:space="preserve"> HYPERLINK "https://pqsuhhq8yu6.feishu.cn/wiki/ACYxwM6VgidB0qkG3x5c9FB6nVg" \h </w:instrText>
      </w:r>
      <w:r>
        <w:fldChar w:fldCharType="separate"/>
      </w:r>
      <w:r>
        <w:rPr>
          <w:color w:val="000000" w:themeColor="text1"/>
          <w14:textFill>
            <w14:solidFill>
              <w14:schemeClr w14:val="tx1"/>
            </w14:solidFill>
          </w14:textFill>
        </w:rPr>
        <w:t xml:space="preserve">ZJZ/JL 05-7 设备保养记录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4.8.5 设备使用人员有权拒绝不符合检验检测条件、环境条件和安全规定要求的检验检测工作。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4.8.6 在检验检测过程中，设备操作超过其量程范围、处置不当或检验检测结果可疑、设备出现故障预警提示或超出规定要求时，应停止使用，加贴停用标识，经维修后重新检定校准或核查验证表明设备恢复正常状态，方可重新投入使用，并在</w:t>
      </w:r>
      <w:r>
        <w:fldChar w:fldCharType="begin"/>
      </w:r>
      <w:r>
        <w:instrText xml:space="preserve"> HYPERLINK "https://pqsuhhq8yu6.feishu.cn/wiki/GPm0wnrqyiA37bkqJVnc1gKxnkM" \h </w:instrText>
      </w:r>
      <w:r>
        <w:fldChar w:fldCharType="separate"/>
      </w:r>
      <w:r>
        <w:rPr>
          <w:color w:val="000000" w:themeColor="text1"/>
          <w14:textFill>
            <w14:solidFill>
              <w14:schemeClr w14:val="tx1"/>
            </w14:solidFill>
          </w14:textFill>
        </w:rPr>
        <w:t xml:space="preserve">ZJZ/JL 05-5 设备运行记录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中记录。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4.8.7 设备操作人员不得自行调整设备技术参数，不得擅自拆卸精密仪器设备，严禁设备超压、超负荷运转。检测设备当场所改变时，需要进行重新确认，严禁违章操作仪器，对于因违章操作或人为责任而导致仪器损坏者，上报实验室室主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4.8.8 仪器设备需要改造时由各实验室室主任提出申请，技术负责人组织进行论证，制订改造方案报实验检测技术中心生产运行室，对改造后的仪器设备要从技术指标、性能、安全性进行验收。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4.8.9 若仪器脱离了实验室的直接控制，该设备返回后，在使用前对其功能和校准状态进行核查或验证，并能显示满意结果。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4.8.10 为了保持设备在使用期的有效状态，仪器专管人员或使用人员应根据仪器本身的检查或验证规程对仪器的状态进行检查或验证。如果需期间核查以保持设备性能时，按照</w:t>
      </w:r>
      <w:r>
        <w:fldChar w:fldCharType="begin"/>
      </w:r>
      <w:r>
        <w:instrText xml:space="preserve"> HYPERLINK "https://pqsuhhq8yu6.feishu.cn/wiki/URQEwJW3IiLWOokueircJ9Rcngb" \h </w:instrText>
      </w:r>
      <w:r>
        <w:fldChar w:fldCharType="separate"/>
      </w:r>
      <w:r>
        <w:rPr>
          <w:rFonts w:hint="eastAsia"/>
          <w:color w:val="000000" w:themeColor="text1"/>
          <w:sz w:val="24"/>
          <w14:textFill>
            <w14:solidFill>
              <w14:schemeClr w14:val="tx1"/>
            </w14:solidFill>
          </w14:textFill>
        </w:rPr>
        <w:t xml:space="preserve"> ZJZ/CX-</w:t>
      </w:r>
      <w:r>
        <w:rPr>
          <w:color w:val="000000" w:themeColor="text1"/>
          <w:sz w:val="24"/>
          <w14:textFill>
            <w14:solidFill>
              <w14:schemeClr w14:val="tx1"/>
            </w14:solidFill>
          </w14:textFill>
        </w:rPr>
        <w:t xml:space="preserve">7</w:t>
      </w:r>
      <w:r>
        <w:rPr>
          <w:color w:val="000000" w:themeColor="text1"/>
          <w14:textFill>
            <w14:solidFill>
              <w14:schemeClr w14:val="tx1"/>
            </w14:solidFill>
          </w14:textFill>
        </w:rPr>
        <w:t xml:space="preserve">期间核查程序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的规定进行。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 </w:t>
      </w:r>
      <w:r>
        <w:rPr>
          <w:b/>
          <w:color w:val="000000" w:themeColor="text1"/>
          <w14:textFill>
            <w14:solidFill>
              <w14:schemeClr w14:val="tx1"/>
            </w14:solidFill>
          </w14:textFill>
        </w:rPr>
        <w:t xml:space="preserve">设备维修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4.9.1 设备出现故障或异常，应立即停止使用，加贴停用标签，并及时向实验室室主任反馈信息，经确认故障后，由岗位人员填报</w:t>
      </w:r>
      <w:r>
        <w:fldChar w:fldCharType="begin"/>
      </w:r>
      <w:r>
        <w:instrText xml:space="preserve"> HYPERLINK "https://pqsuhhq8yu6.feishu.cn/wiki/YHUwwZK6WiNPzlk310OcSdmrnOh" \h </w:instrText>
      </w:r>
      <w:r>
        <w:fldChar w:fldCharType="separate"/>
      </w:r>
      <w:r>
        <w:rPr>
          <w:color w:val="000000" w:themeColor="text1"/>
          <w14:textFill>
            <w14:solidFill>
              <w14:schemeClr w14:val="tx1"/>
            </w14:solidFill>
          </w14:textFill>
        </w:rPr>
        <w:t xml:space="preserve">ZJZ/JL 05-8设备</w:t>
      </w:r>
      <w:r>
        <w:rPr>
          <w:rFonts w:hint="eastAsia"/>
          <w:color w:val="000000" w:themeColor="text1"/>
          <w14:textFill>
            <w14:solidFill>
              <w14:schemeClr w14:val="tx1"/>
            </w14:solidFill>
          </w14:textFill>
        </w:rPr>
        <w:t xml:space="preserve">维修申请</w:t>
      </w:r>
      <w:r>
        <w:rPr>
          <w:color w:val="000000" w:themeColor="text1"/>
          <w14:textFill>
            <w14:solidFill>
              <w14:schemeClr w14:val="tx1"/>
            </w14:solidFill>
          </w14:textFill>
        </w:rPr>
        <w:t xml:space="preserve">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，或在实验分析管理系统中填写仪器设备维修申请。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4.9.2 设备管理员审核仪器设备维修申请单后，由站领导进行确认审批。审批后上报至实验检测技术中心生产运行室设备管理岗，设备管理岗安排实施维修或给出维修意见。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4.9.3 仪器设备厂家/设备维修维保人员远程或到现场给进行诊断，提出维修方案，设备操作人员给予配合和协助，</w:t>
      </w:r>
      <w:r>
        <w:rPr>
          <w:rFonts w:hint="eastAsia"/>
          <w:color w:val="000000" w:themeColor="text1"/>
          <w14:textFill>
            <w14:solidFill>
              <w14:schemeClr w14:val="tx1"/>
            </w14:solidFill>
          </w14:textFill>
        </w:rPr>
        <w:t xml:space="preserve">将诊断后的信息填写</w:t>
      </w:r>
      <w:r>
        <w:rPr>
          <w:rFonts w:hint="eastAsia"/>
          <w:strike/>
          <w:color w:val="000000" w:themeColor="text1"/>
          <w14:textFill>
            <w14:solidFill>
              <w14:schemeClr w14:val="tx1"/>
            </w14:solidFill>
          </w14:textFill>
        </w:rPr>
        <w:t xml:space="preserve">ZJZ/</w:t>
      </w:r>
      <w:r>
        <w:rPr>
          <w:strike/>
          <w:color w:val="000000" w:themeColor="text1"/>
          <w14:textFill>
            <w14:solidFill>
              <w14:schemeClr w14:val="tx1"/>
            </w14:solidFill>
          </w14:textFill>
        </w:rPr>
        <w:t xml:space="preserve">JL </w:t>
      </w:r>
      <w:r>
        <w:rPr>
          <w:rFonts w:hint="eastAsia"/>
          <w:strike/>
          <w:color w:val="000000" w:themeColor="text1"/>
          <w14:textFill>
            <w14:solidFill>
              <w14:schemeClr w14:val="tx1"/>
            </w14:solidFill>
          </w14:textFill>
        </w:rPr>
        <w:t xml:space="preserve">05-6 设备维修记录，</w:t>
      </w:r>
      <w:r>
        <w:rPr>
          <w:rFonts w:hint="eastAsia"/>
          <w:color w:val="000000" w:themeColor="text1"/>
          <w14:textFill>
            <w14:solidFill>
              <w14:schemeClr w14:val="tx1"/>
            </w14:solidFill>
          </w14:textFill>
        </w:rPr>
        <w:t xml:space="preserve">同时在实验分析管理系统中</w:t>
      </w:r>
      <w:r>
        <w:rPr>
          <w:rFonts w:hint="eastAsia"/>
          <w:color w:val="000000" w:themeColor="text1"/>
          <w:lang w:eastAsia="zh-CN"/>
          <w14:textFill>
            <w14:solidFill>
              <w14:schemeClr w14:val="tx1"/>
            </w14:solidFill>
          </w14:textFill>
        </w:rPr>
        <w:t xml:space="preserve">“</w:t>
      </w:r>
      <w:r>
        <w:rPr>
          <w:rFonts w:hint="eastAsia"/>
          <w:color w:val="000000" w:themeColor="text1"/>
          <w14:textFill>
            <w14:solidFill>
              <w14:schemeClr w14:val="tx1"/>
            </w14:solidFill>
          </w14:textFill>
        </w:rPr>
        <w:t xml:space="preserve">设备维修-维修记事</w:t>
      </w:r>
      <w:r>
        <w:rPr>
          <w:rFonts w:hint="eastAsia"/>
          <w:color w:val="000000" w:themeColor="text1"/>
          <w:lang w:eastAsia="zh-CN"/>
          <w14:textFill>
            <w14:solidFill>
              <w14:schemeClr w14:val="tx1"/>
            </w14:solidFill>
          </w14:textFill>
        </w:rPr>
        <w:t xml:space="preserve">”</w:t>
      </w:r>
      <w:r>
        <w:rPr>
          <w:rFonts w:hint="eastAsia"/>
          <w:color w:val="000000" w:themeColor="text1"/>
          <w14:textFill>
            <w14:solidFill>
              <w14:schemeClr w14:val="tx1"/>
            </w14:solidFill>
          </w14:textFill>
        </w:rPr>
        <w:t xml:space="preserve">中记录。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4.9.4 维修后的检验检测设备要从技术指标、性能、安全性进行评估和确认，实验室室主任或技术负责人通过检定、校准或核查来验证保持设备原校准状态的可信度时方可投入使用，如验证需保留验证原始记录，并将评估结果填写在</w:t>
      </w:r>
      <w:r>
        <w:fldChar w:fldCharType="begin"/>
      </w:r>
      <w:r>
        <w:instrText xml:space="preserve"> HYPERLINK "https://pqsuhhq8yu6.feishu.cn/wiki/PinxwHxD6irO5dkIFOMcr11anG3" \h </w:instrText>
      </w:r>
      <w:r>
        <w:fldChar w:fldCharType="separate"/>
      </w:r>
      <w:r>
        <w:rPr>
          <w:color w:val="000000" w:themeColor="text1"/>
          <w14:textFill>
            <w14:solidFill>
              <w14:schemeClr w14:val="tx1"/>
            </w14:solidFill>
          </w14:textFill>
        </w:rPr>
        <w:t xml:space="preserve">ZJZ/JL 05-9 设备(仪器)修理质量确认单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，报实验检测技术中心生产运行室存档，设备操作人员及时在</w:t>
      </w:r>
      <w:r>
        <w:fldChar w:fldCharType="begin"/>
      </w:r>
      <w:r>
        <w:instrText xml:space="preserve"> HYPERLINK "https://pqsuhhq8yu6.feishu.cn/wiki/GPm0wnrqyiA37bkqJVnc1gKxnkM" \h </w:instrText>
      </w:r>
      <w:r>
        <w:fldChar w:fldCharType="separate"/>
      </w:r>
      <w:r>
        <w:rPr>
          <w:color w:val="000000" w:themeColor="text1"/>
          <w14:textFill>
            <w14:solidFill>
              <w14:schemeClr w14:val="tx1"/>
            </w14:solidFill>
          </w14:textFill>
        </w:rPr>
        <w:t xml:space="preserve">ZJZ/JL 05-5 设备运行记录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中记录相关维修信息，满足相关追溯要求。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 设备闲置与报废</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4.10.1 闲置设备，指连续停用一年以上或新购进两年以上、且不能投产使用但仍具有使用价值的设备。</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4.10.2 闲置的设备由实验室室主任粘贴</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停用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标识予以封存，并在台帐中加以标识，放在仪器设备周转库房。</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4.10.3 报废设备指不具有维修、使用价值或无法修复的设备，实验室室主任拟定设备报废计划，至设备管理岗汇总后，由技术负责人/质量负责人组织设备管理小组对设备报废计划进行审核后，报实验检测技术中心生产运行室，待报废设备由检测检测人员粘贴</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停用标签</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，并在台帐中加以标识。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4.10.4 按照西北油田分公司批准的报废设备计划，执行《西北油田公司资产报废管理办法》。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bookmarkStart w:id="20" w:name="heading_14"/>
      <w:r>
        <w:rPr>
          <w:color w:val="000000" w:themeColor="text1"/>
          <w14:textFill>
            <w14:solidFill>
              <w14:schemeClr w14:val="tx1"/>
            </w14:solidFill>
          </w14:textFill>
        </w:rPr>
        <w:t xml:space="preserve">4.11 </w:t>
      </w:r>
      <w:r>
        <w:rPr>
          <w:b/>
          <w:color w:val="000000" w:themeColor="text1"/>
          <w14:textFill>
            <w14:solidFill>
              <w14:schemeClr w14:val="tx1"/>
            </w14:solidFill>
          </w14:textFill>
        </w:rPr>
        <w:t xml:space="preserve">设备检查</w:t>
      </w:r>
      <w:bookmarkEnd w:id="20"/>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质量检测站每月对设备进行一次检查。检查的主要内容包括：</w:t>
      </w:r>
      <w:r>
        <w:rPr>
          <w:color w:val="000000" w:themeColor="text1"/>
          <w14:textFill>
            <w14:solidFill>
              <w14:schemeClr w14:val="tx1"/>
            </w14:solidFill>
          </w14:textFill>
        </w:rPr>
      </w:r>
    </w:p>
    <w:p>
      <w:pPr>
        <w:pStyle w:val="1996"/>
        <w:numPr>
          <w:ilvl w:val="0"/>
          <w:numId w:val="5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新购设备验收情况；</w:t>
      </w:r>
      <w:r>
        <w:rPr>
          <w:color w:val="000000" w:themeColor="text1"/>
          <w14:textFill>
            <w14:solidFill>
              <w14:schemeClr w14:val="tx1"/>
            </w14:solidFill>
          </w14:textFill>
        </w:rPr>
      </w:r>
    </w:p>
    <w:p>
      <w:pPr>
        <w:pStyle w:val="1996"/>
        <w:numPr>
          <w:ilvl w:val="0"/>
          <w:numId w:val="6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建立设备履历档案情况；</w:t>
      </w:r>
      <w:r>
        <w:rPr>
          <w:color w:val="000000" w:themeColor="text1"/>
          <w14:textFill>
            <w14:solidFill>
              <w14:schemeClr w14:val="tx1"/>
            </w14:solidFill>
          </w14:textFill>
        </w:rPr>
      </w:r>
    </w:p>
    <w:p>
      <w:pPr>
        <w:pStyle w:val="1996"/>
        <w:numPr>
          <w:ilvl w:val="0"/>
          <w:numId w:val="6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设备进行正确</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唯一性</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和</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三色</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标识；</w:t>
      </w:r>
      <w:r>
        <w:rPr>
          <w:color w:val="000000" w:themeColor="text1"/>
          <w14:textFill>
            <w14:solidFill>
              <w14:schemeClr w14:val="tx1"/>
            </w14:solidFill>
          </w14:textFill>
        </w:rPr>
      </w:r>
    </w:p>
    <w:p>
      <w:pPr>
        <w:pStyle w:val="1996"/>
        <w:numPr>
          <w:ilvl w:val="0"/>
          <w:numId w:val="6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人员是否经培训合格，持证上岗操作；</w:t>
      </w:r>
      <w:r>
        <w:rPr>
          <w:color w:val="000000" w:themeColor="text1"/>
          <w14:textFill>
            <w14:solidFill>
              <w14:schemeClr w14:val="tx1"/>
            </w14:solidFill>
          </w14:textFill>
        </w:rPr>
      </w:r>
    </w:p>
    <w:p>
      <w:pPr>
        <w:pStyle w:val="1996"/>
        <w:numPr>
          <w:ilvl w:val="0"/>
          <w:numId w:val="6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设备的利用率、故障率；</w:t>
      </w:r>
      <w:r>
        <w:rPr>
          <w:color w:val="000000" w:themeColor="text1"/>
          <w14:textFill>
            <w14:solidFill>
              <w14:schemeClr w14:val="tx1"/>
            </w14:solidFill>
          </w14:textFill>
        </w:rPr>
      </w:r>
    </w:p>
    <w:p>
      <w:pPr>
        <w:pStyle w:val="1996"/>
        <w:numPr>
          <w:ilvl w:val="0"/>
          <w:numId w:val="6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设备发生责任事故及上报情况；</w:t>
      </w:r>
      <w:r>
        <w:rPr>
          <w:color w:val="000000" w:themeColor="text1"/>
          <w14:textFill>
            <w14:solidFill>
              <w14:schemeClr w14:val="tx1"/>
            </w14:solidFill>
          </w14:textFill>
        </w:rPr>
      </w:r>
    </w:p>
    <w:p>
      <w:pPr>
        <w:pStyle w:val="1996"/>
        <w:numPr>
          <w:ilvl w:val="0"/>
          <w:numId w:val="6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仪器工作时人员脱岗（规定的仪器除外）情况；</w:t>
      </w:r>
      <w:r>
        <w:rPr>
          <w:color w:val="000000" w:themeColor="text1"/>
          <w14:textFill>
            <w14:solidFill>
              <w14:schemeClr w14:val="tx1"/>
            </w14:solidFill>
          </w14:textFill>
        </w:rPr>
      </w:r>
    </w:p>
    <w:p>
      <w:pPr>
        <w:pStyle w:val="1996"/>
        <w:numPr>
          <w:ilvl w:val="0"/>
          <w:numId w:val="6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检测仪器挪作他用，不按操作规程操作，导致设备或主要零部件损坏；</w:t>
      </w:r>
      <w:r>
        <w:rPr>
          <w:color w:val="000000" w:themeColor="text1"/>
          <w14:textFill>
            <w14:solidFill>
              <w14:schemeClr w14:val="tx1"/>
            </w14:solidFill>
          </w14:textFill>
        </w:rPr>
      </w:r>
    </w:p>
    <w:p>
      <w:pPr>
        <w:pStyle w:val="1996"/>
        <w:numPr>
          <w:ilvl w:val="0"/>
          <w:numId w:val="6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设备检定与校准计划及实施情况，有无使用检定与校准过期设备；</w:t>
      </w:r>
      <w:r>
        <w:rPr>
          <w:color w:val="000000" w:themeColor="text1"/>
          <w14:textFill>
            <w14:solidFill>
              <w14:schemeClr w14:val="tx1"/>
            </w14:solidFill>
          </w14:textFill>
        </w:rPr>
      </w:r>
    </w:p>
    <w:p>
      <w:pPr>
        <w:pStyle w:val="1996"/>
        <w:numPr>
          <w:ilvl w:val="0"/>
          <w:numId w:val="6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违反设备维修及保养制度，导致设备或主要零部件损坏； </w:t>
      </w:r>
      <w:r>
        <w:rPr>
          <w:color w:val="000000" w:themeColor="text1"/>
          <w14:textFill>
            <w14:solidFill>
              <w14:schemeClr w14:val="tx1"/>
            </w14:solidFill>
          </w14:textFill>
        </w:rPr>
      </w:r>
    </w:p>
    <w:p>
      <w:pPr>
        <w:pStyle w:val="1996"/>
        <w:numPr>
          <w:ilvl w:val="0"/>
          <w:numId w:val="6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运行、维修、保养记录的填写。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4.5.11 检测设备不得挪作他用，严禁违章操作仪器，对于因违章操作或人为责任而导致仪器损坏者，要追究责任。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bookmarkStart w:id="21" w:name="heading_15"/>
      <w:r>
        <w:rPr>
          <w:color w:val="000000" w:themeColor="text1"/>
          <w14:textFill>
            <w14:solidFill>
              <w14:schemeClr w14:val="tx1"/>
            </w14:solidFill>
          </w14:textFill>
        </w:rPr>
        <w:t xml:space="preserve">4.12 现场设备管理</w:t>
      </w:r>
      <w:bookmarkEnd w:id="21"/>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4.12.1 现场检测设备主要指需要脱离实验室场所到现场开展检测的设备。</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4.12.2 设备需要外带至现场开展检测时，领用出站及入站应确认设备状态并填写</w:t>
      </w:r>
      <w:r>
        <w:fldChar w:fldCharType="begin"/>
      </w:r>
      <w:r>
        <w:instrText xml:space="preserve"> HYPERLINK "https://pqsuhhq8yu6.feishu.cn/wiki/PnbuwupTniFQuBkqij2c6SMSnLf" \h </w:instrText>
      </w:r>
      <w:r>
        <w:fldChar w:fldCharType="separate"/>
      </w:r>
      <w:r>
        <w:rPr>
          <w:color w:val="000000" w:themeColor="text1"/>
          <w14:textFill>
            <w14:solidFill>
              <w14:schemeClr w14:val="tx1"/>
            </w14:solidFill>
          </w14:textFill>
        </w:rPr>
        <w:t xml:space="preserve">ZJZ/JL 05-10 设备出/入站登记表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应配备适合设备结构和外型的包装箱，防护仪器受到外界碰撞，在运输设备的车辆上铺设减震材料，根据路况控制车速，轻拿轻放，防止倾斜和倒置。应在符合检测技术标准和设备使用条件的环境下进行现场检测工作，环境条件不满足时停止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4.12.3 具有自校准功能的设备，在出现场前进行标定，设备回到实验室后再次标定，当出现检测数据偏离后，需及时分析原因，作好记录，判断是否对检测结果产生影响，如产生影响执行</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4.12.4 设备返回实验室后，检验检测岗位人员应进行设备的状态检查，确认状态标识。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4.12.5 移动检测的设备，按照</w:t>
      </w:r>
      <w:r>
        <w:fldChar w:fldCharType="begin"/>
      </w:r>
      <w:r>
        <w:instrText xml:space="preserve"> HYPERLINK "https://pqsuhhq8yu6.feishu.cn/wiki/URQEwJW3IiLWOokueircJ9Rcngb" \h </w:instrText>
      </w:r>
      <w:r>
        <w:fldChar w:fldCharType="separate"/>
      </w:r>
      <w:r>
        <w:rPr>
          <w:color w:val="000000" w:themeColor="text1"/>
          <w14:textFill>
            <w14:solidFill>
              <w14:schemeClr w14:val="tx1"/>
            </w14:solidFill>
          </w14:textFill>
        </w:rPr>
        <w:t xml:space="preserve">ZJZ/CX-7 期间核查程序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要求必要时进行期间核查。</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22" w:name="heading_16"/>
      <w:r>
        <w:rPr>
          <w:color w:val="000000" w:themeColor="text1"/>
          <w14:textFill>
            <w14:solidFill>
              <w14:schemeClr w14:val="tx1"/>
            </w14:solidFill>
          </w14:textFill>
        </w:rPr>
        <w:t xml:space="preserve">5. 支持文件</w:t>
      </w:r>
      <w:bookmarkEnd w:id="22"/>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"https://pqsuhhq8yu6.feishu.cn/wiki/Ca8kwtd4ziBnlakqsv0c68a6nNd" \h </w:instrText>
      </w:r>
      <w:r>
        <w:fldChar w:fldCharType="separate"/>
      </w:r>
      <w:r>
        <w:rPr>
          <w:color w:val="000000" w:themeColor="text1"/>
          <w14:textFill>
            <w14:solidFill>
              <w14:schemeClr w14:val="tx1"/>
            </w14:solidFill>
          </w14:textFill>
        </w:rPr>
        <w:t xml:space="preserve">ZJZ/CX-3 人员管理与培训程序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"https://pqsuhhq8yu6.feishu.cn/wiki/PPilwtEN3ibV88kQ4sAcTV7jn7e" \h </w:instrText>
      </w:r>
      <w:r>
        <w:fldChar w:fldCharType="separate"/>
      </w:r>
      <w:r>
        <w:rPr>
          <w:color w:val="000000" w:themeColor="text1"/>
          <w14:textFill>
            <w14:solidFill>
              <w14:schemeClr w14:val="tx1"/>
            </w14:solidFill>
          </w14:textFill>
        </w:rPr>
        <w:t xml:space="preserve">ZJZ/XZ 01 校准因子应用实施细则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"https://pqsuhhq8yu6.feishu.cn/wiki/HUWOwZuw9iqAv6kLjyLcH9aOnoh" \h </w:instrText>
      </w:r>
      <w:r>
        <w:fldChar w:fldCharType="separate"/>
      </w:r>
      <w:r>
        <w:rPr>
          <w:color w:val="000000" w:themeColor="text1"/>
          <w14:textFill>
            <w14:solidFill>
              <w14:schemeClr w14:val="tx1"/>
            </w14:solidFill>
          </w14:textFill>
        </w:rPr>
        <w:t xml:space="preserve">Q/SH 0100.1-2020 计量管理与考核规范 第1部分：油田企业</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JJF 1139 《计量器具检定周期确定原则和方法》</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23" w:name="heading_17"/>
      <w:r>
        <w:rPr>
          <w:color w:val="000000" w:themeColor="text1"/>
          <w14:textFill>
            <w14:solidFill>
              <w14:schemeClr w14:val="tx1"/>
            </w14:solidFill>
          </w14:textFill>
        </w:rPr>
        <w:t xml:space="preserve">6. 记录</w:t>
      </w:r>
      <w:bookmarkEnd w:id="23"/>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"https://pqsuhhq8yu6.feishu.cn/wiki/RAOJw6uViiJrHxkekKWcLPMdnHb" \h </w:instrText>
      </w:r>
      <w:r>
        <w:fldChar w:fldCharType="separate"/>
      </w:r>
      <w:r>
        <w:rPr>
          <w:color w:val="000000" w:themeColor="text1"/>
          <w14:textFill>
            <w14:solidFill>
              <w14:schemeClr w14:val="tx1"/>
            </w14:solidFill>
          </w14:textFill>
        </w:rPr>
        <w:t xml:space="preserve">ZJZ/JL 05-1 设备采购需求分析表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"https://pqsuhhq8yu6.feishu.cn/wiki/T0WJwflQxiv8tZkiJrHctZAxnPe" \h </w:instrText>
      </w:r>
      <w:r>
        <w:fldChar w:fldCharType="separate"/>
      </w:r>
      <w:r>
        <w:rPr>
          <w:color w:val="000000" w:themeColor="text1"/>
          <w14:textFill>
            <w14:solidFill>
              <w14:schemeClr w14:val="tx1"/>
            </w14:solidFill>
          </w14:textFill>
        </w:rPr>
        <w:t xml:space="preserve">ZJZ/JL 05-2 设备验收单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"https://pqsuhhq8yu6.feishu.cn/wiki/LQORwDuYYiBeYAkENZkc2qv9nPc" \h </w:instrText>
      </w:r>
      <w:r>
        <w:fldChar w:fldCharType="separate"/>
      </w:r>
      <w:r>
        <w:rPr>
          <w:color w:val="000000" w:themeColor="text1"/>
          <w14:textFill>
            <w14:solidFill>
              <w14:schemeClr w14:val="tx1"/>
            </w14:solidFill>
          </w14:textFill>
        </w:rPr>
        <w:t xml:space="preserve">ZJZ/JL 05-3 </w:t>
      </w:r>
      <w:r>
        <w:rPr>
          <w:rFonts w:hint="eastAsia"/>
          <w:color w:val="000000" w:themeColor="text1"/>
          <w14:textFill>
            <w14:solidFill>
              <w14:schemeClr w14:val="tx1"/>
            </w14:solidFill>
          </w14:textFill>
        </w:rPr>
        <w:t xml:space="preserve">检定/校准确认记录 </w:t>
      </w:r>
      <w:r>
        <w:rPr>
          <w:color w:val="000000" w:themeColor="text1"/>
          <w14:textFill>
            <w14:solidFill>
              <w14:schemeClr w14:val="tx1"/>
            </w14:solidFill>
          </w14:textFill>
        </w:rPr>
        <w:t xml:space="preserve"> </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"https://pqsuhhq8yu6.feishu.cn/wiki/Hwh3wc1hZiNZPrkttgDcCo9gnXd" \h </w:instrText>
      </w:r>
      <w:r>
        <w:fldChar w:fldCharType="separate"/>
      </w:r>
      <w:r>
        <w:rPr>
          <w:color w:val="000000" w:themeColor="text1"/>
          <w14:textFill>
            <w14:solidFill>
              <w14:schemeClr w14:val="tx1"/>
            </w14:solidFill>
          </w14:textFill>
        </w:rPr>
        <w:t xml:space="preserve">ZJZ/JL 05-4 </w:t>
      </w:r>
      <w:r>
        <w:fldChar w:fldCharType="begin"/>
      </w:r>
      <w:r>
        <w:instrText xml:space="preserve"> HYPERLINK "https://pqsuhhq8yu6.feishu.cn/wiki/AnlrwUMSwiDAeRkgkqtcIa66nEb" \h </w:instrText>
      </w:r>
      <w:r>
        <w:fldChar w:fldCharType="separate"/>
      </w:r>
      <w:r>
        <w:rPr>
          <w:rFonts w:hint="eastAsia"/>
          <w:color w:val="000000" w:themeColor="text1"/>
          <w14:textFill>
            <w14:solidFill>
              <w14:schemeClr w14:val="tx1"/>
            </w14:solidFill>
          </w14:textFill>
        </w:rPr>
        <w:t xml:space="preserve">辅助设备检查确认记录</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"https://pqsuhhq8yu6.feishu.cn/wiki/GPm0wnrqyiA37bkqJVnc1gKxnkM" \h </w:instrText>
      </w:r>
      <w:r>
        <w:fldChar w:fldCharType="separate"/>
      </w:r>
      <w:r>
        <w:rPr>
          <w:color w:val="000000" w:themeColor="text1"/>
          <w14:textFill>
            <w14:solidFill>
              <w14:schemeClr w14:val="tx1"/>
            </w14:solidFill>
          </w14:textFill>
        </w:rPr>
        <w:t xml:space="preserve">ZJZ/JL 05-5 设备运行记录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strike/>
          <w:color w:val="000000" w:themeColor="text1"/>
          <w14:textFill>
            <w14:solidFill>
              <w14:schemeClr w14:val="tx1"/>
            </w14:solidFill>
          </w14:textFill>
        </w:rPr>
      </w:pPr>
      <w:r>
        <w:rPr>
          <w:rFonts w:hint="eastAsia"/>
          <w:strike/>
          <w:color w:val="000000" w:themeColor="text1"/>
          <w14:textFill>
            <w14:solidFill>
              <w14:schemeClr w14:val="tx1"/>
            </w14:solidFill>
          </w14:textFill>
        </w:rPr>
        <w:t xml:space="preserve">ZJZ/</w:t>
      </w:r>
      <w:r>
        <w:rPr>
          <w:strike/>
          <w:color w:val="000000" w:themeColor="text1"/>
          <w14:textFill>
            <w14:solidFill>
              <w14:schemeClr w14:val="tx1"/>
            </w14:solidFill>
          </w14:textFill>
        </w:rPr>
        <w:t xml:space="preserve">JL </w:t>
      </w:r>
      <w:r>
        <w:rPr>
          <w:rFonts w:hint="eastAsia"/>
          <w:strike/>
          <w:color w:val="000000" w:themeColor="text1"/>
          <w14:textFill>
            <w14:solidFill>
              <w14:schemeClr w14:val="tx1"/>
            </w14:solidFill>
          </w14:textFill>
        </w:rPr>
        <w:t xml:space="preserve">05-6 设备维修记录</w:t>
      </w:r>
      <w:r>
        <w:rPr>
          <w:strike/>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"https://pqsuhhq8yu6.feishu.cn/wiki/ACYxwM6VgidB0qkG3x5c9FB6nVg" \h </w:instrText>
      </w:r>
      <w:r>
        <w:fldChar w:fldCharType="separate"/>
      </w:r>
      <w:r>
        <w:rPr>
          <w:color w:val="000000" w:themeColor="text1"/>
          <w14:textFill>
            <w14:solidFill>
              <w14:schemeClr w14:val="tx1"/>
            </w14:solidFill>
          </w14:textFill>
        </w:rPr>
        <w:t xml:space="preserve">ZJZ/JL 05-7 设备保养记录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"https://pqsuhhq8yu6.feishu.cn/wiki/YHUwwZK6WiNPzlk310OcSdmrnOh" \h </w:instrText>
      </w:r>
      <w:r>
        <w:fldChar w:fldCharType="separate"/>
      </w:r>
      <w:r>
        <w:rPr>
          <w:color w:val="000000" w:themeColor="text1"/>
          <w14:textFill>
            <w14:solidFill>
              <w14:schemeClr w14:val="tx1"/>
            </w14:solidFill>
          </w14:textFill>
        </w:rPr>
        <w:t xml:space="preserve">ZJZ/JL 05-8 设备</w:t>
      </w:r>
      <w:r>
        <w:rPr>
          <w:rFonts w:hint="eastAsia"/>
          <w:color w:val="000000" w:themeColor="text1"/>
          <w14:textFill>
            <w14:solidFill>
              <w14:schemeClr w14:val="tx1"/>
            </w14:solidFill>
          </w14:textFill>
        </w:rPr>
        <w:t xml:space="preserve">维修申请</w:t>
      </w:r>
      <w:r>
        <w:rPr>
          <w:color w:val="000000" w:themeColor="text1"/>
          <w14:textFill>
            <w14:solidFill>
              <w14:schemeClr w14:val="tx1"/>
            </w14:solidFill>
          </w14:textFill>
        </w:rPr>
        <w:t xml:space="preserve">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"https://pqsuhhq8yu6.feishu.cn/wiki/AnlrwUMSwiDAeRkgkqtcIa66nEb" \h </w:instrText>
      </w:r>
      <w:r>
        <w:fldChar w:fldCharType="separate"/>
      </w:r>
      <w:r>
        <w:rPr>
          <w:color w:val="000000" w:themeColor="text1"/>
          <w14:textFill>
            <w14:solidFill>
              <w14:schemeClr w14:val="tx1"/>
            </w14:solidFill>
          </w14:textFill>
        </w:rPr>
        <w:t xml:space="preserve">ZJZ/JL 05-9 </w:t>
      </w:r>
      <w:r>
        <w:rPr>
          <w:rFonts w:hint="eastAsia"/>
          <w:color w:val="000000" w:themeColor="text1"/>
          <w14:textFill>
            <w14:solidFill>
              <w14:schemeClr w14:val="tx1"/>
            </w14:solidFill>
          </w14:textFill>
        </w:rPr>
        <w:t xml:space="preserve">设备（仪器）</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 xml:space="preserve">修理质量确认单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"https://pqsuhhq8yu6.feishu.cn/wiki/YHUwwZK6WiNPzlk310OcSdmrnOh" \h </w:instrText>
      </w:r>
      <w:r>
        <w:fldChar w:fldCharType="separate"/>
      </w:r>
      <w:r>
        <w:rPr>
          <w:color w:val="000000" w:themeColor="text1"/>
          <w14:textFill>
            <w14:solidFill>
              <w14:schemeClr w14:val="tx1"/>
            </w14:solidFill>
          </w14:textFill>
        </w:rPr>
        <w:t xml:space="preserve">ZJZ/JL 05-10 设备出/入站登记表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"https://pqsuhhq8yu6.feishu.cn/wiki/UCGTwRIGJi9NlRkH34rc9Otznzf" \h </w:instrText>
      </w:r>
      <w:r>
        <w:fldChar w:fldCharType="separate"/>
      </w:r>
      <w:r>
        <w:rPr>
          <w:color w:val="000000" w:themeColor="text1"/>
          <w14:textFill>
            <w14:solidFill>
              <w14:schemeClr w14:val="tx1"/>
            </w14:solidFill>
          </w14:textFill>
        </w:rPr>
        <w:t xml:space="preserve">ZJZ/JL 05-11 设备运行调试报告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"https://pqsuhhq8yu6.feishu.cn/wiki/AMY6wUc5jiPIDekeUkjcTmG1nDY" \h </w:instrText>
      </w:r>
      <w:r>
        <w:fldChar w:fldCharType="separate"/>
      </w:r>
      <w:r>
        <w:rPr>
          <w:color w:val="000000" w:themeColor="text1"/>
          <w14:textFill>
            <w14:solidFill>
              <w14:schemeClr w14:val="tx1"/>
            </w14:solidFill>
          </w14:textFill>
        </w:rPr>
        <w:t xml:space="preserve">ZJZ/JL 05-12 设备履历档案</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"https://pqsuhhq8yu6.feishu.cn/wiki/LQORwDuYYiBeYAkENZkc2qv9nPc" \h </w:instrText>
      </w:r>
      <w:r>
        <w:fldChar w:fldCharType="separate"/>
      </w:r>
      <w:r>
        <w:rPr>
          <w:color w:val="000000" w:themeColor="text1"/>
          <w14:textFill>
            <w14:solidFill>
              <w14:schemeClr w14:val="tx1"/>
            </w14:solidFill>
          </w14:textFill>
        </w:rPr>
        <w:t xml:space="preserve">ZJZ/JL 05-13 设备台账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"https://pqsuhhq8yu6.feishu.cn/wiki/UCGTwRIGJi9NlRkH34rc9Otznzf" \h </w:instrText>
      </w:r>
      <w:r>
        <w:fldChar w:fldCharType="separate"/>
      </w:r>
      <w:r>
        <w:fldChar w:fldCharType="begin"/>
      </w:r>
      <w:r>
        <w:instrText xml:space="preserve"> HYPERLINK "https://pqsuhhq8yu6.feishu.cn/wiki/Hwh3wc1hZiNZPrkttgDcCo9gnXd" \h </w:instrText>
      </w:r>
      <w:r>
        <w:fldChar w:fldCharType="separate"/>
      </w:r>
      <w:r>
        <w:rPr>
          <w:color w:val="000000" w:themeColor="text1"/>
          <w14:textFill>
            <w14:solidFill>
              <w14:schemeClr w14:val="tx1"/>
            </w14:solidFill>
          </w14:textFill>
        </w:rPr>
        <w:t xml:space="preserve">ZJZ/JL 05-14 设备/计量器具/压力仪表/标准物质检定/校准</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 xml:space="preserve">台账</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hint="eastAsia"/>
          <w:color w:val="000000" w:themeColor="text1"/>
          <w:highlight w:val="yellow"/>
          <w14:textFill>
            <w14:solidFill>
              <w14:schemeClr w14:val="tx1"/>
            </w14:solidFill>
          </w14:textFill>
        </w:rPr>
        <w:t xml:space="preserve">ZJZ/JL 05-15 设备和计量器具检定/校准计划表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24" w:name="_Toc16039"/>
      <w:r>
        <w:rPr>
          <w:color w:val="000000" w:themeColor="text1"/>
          <w14:textFill>
            <w14:solidFill>
              <w14:schemeClr w14:val="tx1"/>
            </w14:solidFill>
          </w14:textFill>
        </w:rPr>
        <w:t xml:space="preserve">ZJZ/CX-6 量值溯源程序</w:t>
      </w:r>
      <w:bookmarkEnd w:id="24"/>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对检验检测用的检验检测仪器设备、计量器具的检定、校准进行控制，确保其量值准确， 并能溯源到国际单位制（SI）及国家计量基准。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适用于对检验检测结果准确性和有效性有影响的检验检测仪器设备、计量器具的检定/校准。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技术负责人：负责仪器设备、计量器具检定/校准计划的批准。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实验室室主任：负责本实验室设备、计量器具检定/校准计划的编制。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设备管理员：负责汇总和收集各实验室设备、计量器具检定/校准计划，负责联系检定/校准工作的协调。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检验检测人员：负责配合计量检定/校准工作人员开展工作。</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工作程序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量值溯源要求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在下列情况下，设备及计量器具应进行检定/校准：</w:t>
      </w:r>
      <w:r>
        <w:rPr>
          <w:color w:val="000000" w:themeColor="text1"/>
          <w14:textFill>
            <w14:solidFill>
              <w14:schemeClr w14:val="tx1"/>
            </w14:solidFill>
          </w14:textFill>
        </w:rPr>
      </w:r>
    </w:p>
    <w:p>
      <w:pPr>
        <w:pStyle w:val="1996"/>
        <w:numPr>
          <w:ilvl w:val="0"/>
          <w:numId w:val="7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当测量准确度或测量不确定度影响报告结果的有效性；</w:t>
      </w:r>
      <w:r>
        <w:rPr>
          <w:color w:val="000000" w:themeColor="text1"/>
          <w14:textFill>
            <w14:solidFill>
              <w14:schemeClr w14:val="tx1"/>
            </w14:solidFill>
          </w14:textFill>
        </w:rPr>
      </w:r>
    </w:p>
    <w:p>
      <w:pPr>
        <w:pStyle w:val="1996"/>
        <w:numPr>
          <w:ilvl w:val="0"/>
          <w:numId w:val="7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为建立报告结果的计量溯源性，要求对设备进行校准；</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tcBorders>
              <w:top w:val="none" w:color="000000" w:sz="4" w:space="0"/>
              <w:left w:val="single" w:color="bbbfc4" w:sz="18" w:space="0"/>
              <w:bottom w:val="none" w:color="000000" w:sz="4" w:space="0"/>
              <w:right w:val="none" w:color="000000" w:sz="4" w:space="0"/>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注：影响报告结果有效性的设备应规定检定/校准的具体时间、溯源路径，并且需要对得到的数据和结果是否符合检测工作的要求做出判断。类型可包括：</w:t>
            </w:r>
            <w:r>
              <w:rPr>
                <w:rFonts w:hint="default"/>
                <w:color w:val="000000" w:themeColor="text1"/>
                <w14:textFill>
                  <w14:solidFill>
                    <w14:schemeClr w14:val="tx1"/>
                  </w14:solidFill>
                </w14:textFill>
              </w:rPr>
            </w:r>
          </w:p>
          <w:p>
            <w:pPr>
              <w:pStyle w:val="1996"/>
              <w:keepNext w:val="false"/>
              <w:keepLines w:val="false"/>
              <w:numPr>
                <w:ilvl w:val="0"/>
                <w:numId w:val="72"/>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直接出具检测结果的设备，例如：红外分光测油仪；</w:t>
            </w:r>
            <w:r>
              <w:rPr>
                <w:rFonts w:hint="default"/>
                <w:color w:val="000000" w:themeColor="text1"/>
                <w14:textFill>
                  <w14:solidFill>
                    <w14:schemeClr w14:val="tx1"/>
                  </w14:solidFill>
                </w14:textFill>
              </w:rPr>
            </w:r>
          </w:p>
          <w:p>
            <w:pPr>
              <w:pStyle w:val="1996"/>
              <w:keepNext w:val="false"/>
              <w:keepLines w:val="false"/>
              <w:numPr>
                <w:ilvl w:val="0"/>
                <w:numId w:val="7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设备测定值参与结果计算的设备，例如：可见分光光度计、大气采样器；</w:t>
            </w:r>
            <w:r>
              <w:rPr>
                <w:rFonts w:hint="default"/>
                <w:color w:val="000000" w:themeColor="text1"/>
                <w14:textFill>
                  <w14:solidFill>
                    <w14:schemeClr w14:val="tx1"/>
                  </w14:solidFill>
                </w14:textFill>
              </w:rPr>
            </w:r>
          </w:p>
          <w:p>
            <w:pPr>
              <w:pStyle w:val="1996"/>
              <w:keepNext w:val="false"/>
              <w:keepLines w:val="false"/>
              <w:numPr>
                <w:ilvl w:val="0"/>
                <w:numId w:val="7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用于直接测量的设备，例如使用天平测量质量；</w:t>
            </w:r>
            <w:r>
              <w:rPr>
                <w:rFonts w:hint="default"/>
                <w:color w:val="000000" w:themeColor="text1"/>
                <w14:textFill>
                  <w14:solidFill>
                    <w14:schemeClr w14:val="tx1"/>
                  </w14:solidFill>
                </w14:textFill>
              </w:rPr>
            </w:r>
          </w:p>
          <w:p>
            <w:pPr>
              <w:pStyle w:val="1996"/>
              <w:keepNext w:val="false"/>
              <w:keepLines w:val="false"/>
              <w:numPr>
                <w:ilvl w:val="0"/>
                <w:numId w:val="7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用于修正测量值的设备，例如温度测量；</w:t>
            </w:r>
            <w:r>
              <w:rPr>
                <w:rFonts w:hint="default"/>
                <w:color w:val="000000" w:themeColor="text1"/>
                <w14:textFill>
                  <w14:solidFill>
                    <w14:schemeClr w14:val="tx1"/>
                  </w14:solidFill>
                </w14:textFill>
              </w:rPr>
            </w:r>
          </w:p>
          <w:p>
            <w:pPr>
              <w:pStyle w:val="1996"/>
              <w:keepNext w:val="false"/>
              <w:keepLines w:val="false"/>
              <w:numPr>
                <w:ilvl w:val="0"/>
                <w:numId w:val="7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设备测定结果在标准方法中有明确要求，例如：恒温恒湿培养箱、干燥箱；</w:t>
            </w:r>
            <w:r>
              <w:rPr>
                <w:rFonts w:hint="default"/>
                <w:color w:val="000000" w:themeColor="text1"/>
                <w14:textFill>
                  <w14:solidFill>
                    <w14:schemeClr w14:val="tx1"/>
                  </w14:solidFill>
                </w14:textFill>
              </w:rPr>
            </w:r>
          </w:p>
          <w:p>
            <w:pPr>
              <w:pStyle w:val="1996"/>
              <w:keepNext w:val="false"/>
              <w:keepLines w:val="false"/>
              <w:numPr>
                <w:ilvl w:val="0"/>
                <w:numId w:val="7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用于控制检测项目环境的设备：温湿度表。</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用于检验检测的所有设备及监控设备，其量值溯源应符合国家计量检定系统的要求。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外部检定/校准服务机构应是具有法定计量检定机构或授权机构。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用于核查的标准物质优先选择国家有证标准物质。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检定/校准计划的制定与实施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对检验检测结果的准确性和有效性有影响的检验检测设备、计量器具在投入使用前必须经检定/校准或核查。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设备分类按照</w:t>
      </w:r>
      <w:r>
        <w:fldChar w:fldCharType="begin"/>
      </w:r>
      <w:r>
        <w:instrText xml:space="preserve"> HYPERLINK "https://pqsuhhq8yu6.feishu.cn/wiki/HUWOwZuw9iqAv6kLjyLcH9aOnoh" \h </w:instrText>
      </w:r>
      <w:r>
        <w:fldChar w:fldCharType="separate"/>
      </w:r>
      <w:r>
        <w:rPr>
          <w:color w:val="000000" w:themeColor="text1"/>
          <w14:textFill>
            <w14:solidFill>
              <w14:schemeClr w14:val="tx1"/>
            </w14:solidFill>
          </w14:textFill>
        </w:rPr>
        <w:t xml:space="preserve">Q/SH 0100.1-2020 计量管理与考核规范 第1部分：油田企业</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要求，分为A、B、C三类：</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shd w:val="clear" w:color="auto" w:fill="fff5eb"/>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A类设备及计量器具</w:t>
            </w:r>
            <w:r>
              <w:rPr>
                <w:rFonts w:hint="default"/>
                <w:color w:val="000000" w:themeColor="text1"/>
                <w14:textFill>
                  <w14:solidFill>
                    <w14:schemeClr w14:val="tx1"/>
                  </w14:solidFill>
                </w14:textFill>
              </w:rPr>
            </w:r>
          </w:p>
          <w:p>
            <w:pPr>
              <w:pStyle w:val="1996"/>
              <w:keepNext w:val="false"/>
              <w:keepLines w:val="false"/>
              <w:numPr>
                <w:ilvl w:val="0"/>
                <w:numId w:val="78"/>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强检设备及计量器具，社会公用计量标准器具，企业最高计量标准器具，以及用于贸易结算、安全防护、医疗卫生、环境监测方面并列入《实施强制管理的计量器具目录》且监管方式为 V（强制检定）和 P+V（型式批准+强制检定）的计量器具，使用中应接受强制检定。</w:t>
            </w:r>
            <w:r>
              <w:rPr>
                <w:rFonts w:hint="default"/>
                <w:color w:val="000000" w:themeColor="text1"/>
                <w14:textFill>
                  <w14:solidFill>
                    <w14:schemeClr w14:val="tx1"/>
                  </w14:solidFill>
                </w14:textFill>
              </w:rPr>
            </w:r>
          </w:p>
          <w:p>
            <w:pPr>
              <w:pStyle w:val="1996"/>
              <w:keepNext w:val="false"/>
              <w:keepLines w:val="false"/>
              <w:numPr>
                <w:ilvl w:val="0"/>
                <w:numId w:val="79"/>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Q/SH 0100.1-2020中附录C中列出的设备及计量器具。</w:t>
            </w:r>
            <w:r>
              <w:rPr>
                <w:rFonts w:hint="default"/>
                <w:color w:val="000000" w:themeColor="text1"/>
                <w14:textFill>
                  <w14:solidFill>
                    <w14:schemeClr w14:val="tx1"/>
                  </w14:solidFill>
                </w14:textFill>
              </w:rPr>
            </w:r>
          </w:p>
          <w:p>
            <w:pPr>
              <w:pStyle w:val="1996"/>
              <w:keepNext w:val="false"/>
              <w:keepLines w:val="false"/>
              <w:numPr>
                <w:ilvl w:val="0"/>
                <w:numId w:val="80"/>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非强检设备及计量器具：直接用于中石化集团公司企业间交接的计量器具；企业次级计量标准器具；用于省级以上资质认定、实验室认可资质范围内项目检测的计量器具；其他用于工程质量监测、生产安全防护等关键过程的计量器具。</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B类设备及计量器具</w:t>
            </w:r>
            <w:r>
              <w:rPr>
                <w:rFonts w:hint="default"/>
                <w:color w:val="000000" w:themeColor="text1"/>
                <w14:textFill>
                  <w14:solidFill>
                    <w14:schemeClr w14:val="tx1"/>
                  </w14:solidFill>
                </w14:textFill>
              </w:rPr>
            </w:r>
          </w:p>
          <w:p>
            <w:pPr>
              <w:pStyle w:val="1996"/>
              <w:keepNext w:val="false"/>
              <w:keepLines w:val="false"/>
              <w:numPr>
                <w:ilvl w:val="0"/>
                <w:numId w:val="81"/>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用于企业二级单位间交接的计量器具；用于二级单位内部经营管理、指标考核的计量器具；用于企业实验室内部计量认可资质范围内项目检测的计量器具；用于自主校准的标准计量器具；用于其他关键工艺控制、重点过程监测的计量器具。</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C类设备及计量器具</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用于一般过程、状态监视或指示的计量器具；计量性能稳定、易耗易碎的计量器具（强检计量器具除外）；计量性能稳定、使用频次低、准确性要求低的计量器具；嵌入装置、不便拆卸、准确性要求低的计量器具。</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在确定测量设备检定/校准间隔时，一般需要考虑如下因素：</w:t>
      </w:r>
      <w:r>
        <w:rPr>
          <w:color w:val="000000" w:themeColor="text1"/>
          <w14:textFill>
            <w14:solidFill>
              <w14:schemeClr w14:val="tx1"/>
            </w14:solidFill>
          </w14:textFill>
        </w:rPr>
      </w:r>
    </w:p>
    <w:p>
      <w:pPr>
        <w:pStyle w:val="1996"/>
        <w:numPr>
          <w:ilvl w:val="0"/>
          <w:numId w:val="8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相关计量检定规程对检定周期的规定；</w:t>
      </w:r>
      <w:r>
        <w:rPr>
          <w:color w:val="000000" w:themeColor="text1"/>
          <w14:textFill>
            <w14:solidFill>
              <w14:schemeClr w14:val="tx1"/>
            </w14:solidFill>
          </w14:textFill>
        </w:rPr>
      </w:r>
    </w:p>
    <w:p>
      <w:pPr>
        <w:pStyle w:val="1996"/>
        <w:numPr>
          <w:ilvl w:val="0"/>
          <w:numId w:val="8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在进行型式批准时有关部门的要求或建议；</w:t>
      </w:r>
      <w:r>
        <w:rPr>
          <w:color w:val="000000" w:themeColor="text1"/>
          <w14:textFill>
            <w14:solidFill>
              <w14:schemeClr w14:val="tx1"/>
            </w14:solidFill>
          </w14:textFill>
        </w:rPr>
      </w:r>
    </w:p>
    <w:p>
      <w:pPr>
        <w:pStyle w:val="1996"/>
        <w:numPr>
          <w:ilvl w:val="0"/>
          <w:numId w:val="8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制造厂商的要求或建议；</w:t>
      </w:r>
      <w:r>
        <w:rPr>
          <w:color w:val="000000" w:themeColor="text1"/>
          <w14:textFill>
            <w14:solidFill>
              <w14:schemeClr w14:val="tx1"/>
            </w14:solidFill>
          </w14:textFill>
        </w:rPr>
      </w:r>
    </w:p>
    <w:p>
      <w:pPr>
        <w:pStyle w:val="1996"/>
        <w:numPr>
          <w:ilvl w:val="0"/>
          <w:numId w:val="8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使用的频繁程度；</w:t>
      </w:r>
      <w:r>
        <w:rPr>
          <w:color w:val="000000" w:themeColor="text1"/>
          <w14:textFill>
            <w14:solidFill>
              <w14:schemeClr w14:val="tx1"/>
            </w14:solidFill>
          </w14:textFill>
        </w:rPr>
      </w:r>
    </w:p>
    <w:p>
      <w:pPr>
        <w:pStyle w:val="1996"/>
        <w:numPr>
          <w:ilvl w:val="0"/>
          <w:numId w:val="8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维护和使用的记录；</w:t>
      </w:r>
      <w:r>
        <w:rPr>
          <w:color w:val="000000" w:themeColor="text1"/>
          <w14:textFill>
            <w14:solidFill>
              <w14:schemeClr w14:val="tx1"/>
            </w14:solidFill>
          </w14:textFill>
        </w:rPr>
      </w:r>
    </w:p>
    <w:p>
      <w:pPr>
        <w:pStyle w:val="1996"/>
        <w:numPr>
          <w:ilvl w:val="0"/>
          <w:numId w:val="8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以往检定/校准记录所得的趋向性数据；</w:t>
      </w:r>
      <w:r>
        <w:rPr>
          <w:color w:val="000000" w:themeColor="text1"/>
          <w14:textFill>
            <w14:solidFill>
              <w14:schemeClr w14:val="tx1"/>
            </w14:solidFill>
          </w14:textFill>
        </w:rPr>
      </w:r>
    </w:p>
    <w:p>
      <w:pPr>
        <w:pStyle w:val="1996"/>
        <w:numPr>
          <w:ilvl w:val="0"/>
          <w:numId w:val="8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磨损和漂移量的趋势；</w:t>
      </w:r>
      <w:r>
        <w:rPr>
          <w:color w:val="000000" w:themeColor="text1"/>
          <w14:textFill>
            <w14:solidFill>
              <w14:schemeClr w14:val="tx1"/>
            </w14:solidFill>
          </w14:textFill>
        </w:rPr>
      </w:r>
    </w:p>
    <w:p>
      <w:pPr>
        <w:pStyle w:val="1996"/>
        <w:numPr>
          <w:ilvl w:val="0"/>
          <w:numId w:val="8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环境的严酷度及其影响（例如，腐蚀、灰尘、振动、频繁运输和粗暴操作）；</w:t>
      </w:r>
      <w:r>
        <w:rPr>
          <w:color w:val="000000" w:themeColor="text1"/>
          <w14:textFill>
            <w14:solidFill>
              <w14:schemeClr w14:val="tx1"/>
            </w14:solidFill>
          </w14:textFill>
        </w:rPr>
      </w:r>
    </w:p>
    <w:p>
      <w:pPr>
        <w:pStyle w:val="1996"/>
        <w:numPr>
          <w:ilvl w:val="0"/>
          <w:numId w:val="9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追求的测量准确度；</w:t>
      </w:r>
      <w:r>
        <w:rPr>
          <w:color w:val="000000" w:themeColor="text1"/>
          <w14:textFill>
            <w14:solidFill>
              <w14:schemeClr w14:val="tx1"/>
            </w14:solidFill>
          </w14:textFill>
        </w:rPr>
      </w:r>
    </w:p>
    <w:p>
      <w:pPr>
        <w:pStyle w:val="1996"/>
        <w:numPr>
          <w:ilvl w:val="0"/>
          <w:numId w:val="9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期间核查和功能检查的有效性和可靠性。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每年年初，技术负责人组织实验室室主任编制</w:t>
      </w:r>
      <w:r>
        <w:rPr>
          <w:rFonts w:hint="eastAsia"/>
          <w:color w:val="000000" w:themeColor="text1"/>
          <w14:textFill>
            <w14:solidFill>
              <w14:schemeClr w14:val="tx1"/>
            </w14:solidFill>
          </w14:textFill>
        </w:rPr>
        <w:t xml:space="preserve">ZJZ/JL 05-15 </w:t>
      </w:r>
      <w:r>
        <w:rPr>
          <w:rFonts w:hint="eastAsia"/>
          <w:color w:val="000000" w:themeColor="text1"/>
          <w:highlight w:val="yellow"/>
          <w14:textFill>
            <w14:solidFill>
              <w14:schemeClr w14:val="tx1"/>
            </w14:solidFill>
          </w14:textFill>
        </w:rPr>
        <w:t xml:space="preserve">ZJZ/JL 05-15 设备和计量器具检定/校准计划表</w:t>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量值溯源可分两部分： </w:t>
      </w:r>
      <w:r>
        <w:rPr>
          <w:color w:val="000000" w:themeColor="text1"/>
          <w14:textFill>
            <w14:solidFill>
              <w14:schemeClr w14:val="tx1"/>
            </w14:solidFill>
          </w14:textFill>
        </w:rPr>
      </w:r>
    </w:p>
    <w:p>
      <w:pPr>
        <w:pStyle w:val="1996"/>
        <w:numPr>
          <w:ilvl w:val="0"/>
          <w:numId w:val="9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可以溯源到国际单位制（SI）或国家计量基准的仪器设备，国家规定强检的仪器设备依法实施计量检定/校准，应纳入</w:t>
      </w:r>
      <w:r>
        <w:rPr>
          <w:rFonts w:hint="eastAsia"/>
        </w:rPr>
        <w:t xml:space="preserve">仪器/计量器具周期检定/校准计划</w:t>
      </w:r>
      <w:r>
        <w:rPr>
          <w:color w:val="000000" w:themeColor="text1"/>
          <w14:textFill>
            <w14:solidFill>
              <w14:schemeClr w14:val="tx1"/>
            </w14:solidFill>
          </w14:textFill>
        </w:rPr>
        <w:t xml:space="preserve">； </w:t>
      </w:r>
      <w:r>
        <w:rPr>
          <w:color w:val="000000" w:themeColor="text1"/>
          <w14:textFill>
            <w14:solidFill>
              <w14:schemeClr w14:val="tx1"/>
            </w14:solidFill>
          </w14:textFill>
        </w:rPr>
      </w:r>
    </w:p>
    <w:p>
      <w:pPr>
        <w:pStyle w:val="1996"/>
        <w:numPr>
          <w:ilvl w:val="0"/>
          <w:numId w:val="9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无法溯源到国际单位制（SI）或国家计量基准的仪器设备，通过证实对适当的测量标准的可追溯性来提供检验检测的可信度。如：参加能力验证、有资质的实验室间比对；使用有证标准物质来给出材料的可靠物理或化学特性；通过社会公认计量标准溯源，以确保测量结果的准确性和可靠性；经权威机构确认等。具体验证过程由实验室室主任编制证实方案，经技术负责人审批后实施，本站保留检验检测结果相关性和准确性的证据。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设备管理员根据各依法授权的计量检定机构的检定/校准/范围， 按</w:t>
      </w:r>
      <w:r>
        <w:rPr>
          <w:rFonts w:hint="eastAsia"/>
        </w:rPr>
        <w:t xml:space="preserve">仪器/计量器具周期检定/校准计划</w:t>
      </w:r>
      <w:r>
        <w:rPr>
          <w:color w:val="000000" w:themeColor="text1"/>
          <w14:textFill>
            <w14:solidFill>
              <w14:schemeClr w14:val="tx1"/>
            </w14:solidFill>
          </w14:textFill>
        </w:rPr>
        <w:t xml:space="preserve">组织实施。对需要校准的仪器设备，设备管理员组织实验室室主任根据仪器设备技术指标和实际工作需要， 提出具体校准技术指标，委托法定检定部门进行校准，检验检测人员协助设备、计量器具检定/校准工作人员的相关工作。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在选择外部检定/校准服务时，按照</w:t>
      </w:r>
      <w:r>
        <w:fldChar w:fldCharType="begin"/>
      </w:r>
      <w:r>
        <w:instrText xml:space="preserve"> HYPERLINK "https://pqsuhhq8yu6.feishu.cn/wiki/QqIQwQJn6iSKH5kfFP7clk91nIh" \h </w:instrText>
      </w:r>
      <w:r>
        <w:fldChar w:fldCharType="separate"/>
      </w:r>
      <w:r>
        <w:rPr>
          <w:color w:val="000000" w:themeColor="text1"/>
          <w14:textFill>
            <w14:solidFill>
              <w14:schemeClr w14:val="tx1"/>
            </w14:solidFill>
          </w14:textFill>
        </w:rPr>
        <w:t xml:space="preserve">13.服务和供应品管理程序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的要求对检定/校准机构的资质和能力进行评价，确保能够证明其资格、测量能力和溯源性。一般选择国家法定计量检定/校准单位、通过国家认可的检定/校准实验室。</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shd w:val="clear" w:color="auto" w:fill="fff5eb"/>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4.2.8 检定和校准的区别</w:t>
            </w:r>
            <w:r>
              <w:rPr>
                <w:rFonts w:hint="default"/>
                <w:color w:val="000000" w:themeColor="text1"/>
                <w14:textFill>
                  <w14:solidFill>
                    <w14:schemeClr w14:val="tx1"/>
                  </w14:solidFill>
                </w14:textFill>
              </w:rPr>
            </w:r>
          </w:p>
          <w:p>
            <w:pPr>
              <w:pStyle w:val="1996"/>
              <w:keepNext w:val="false"/>
              <w:keepLines w:val="false"/>
              <w:numPr>
                <w:ilvl w:val="0"/>
                <w:numId w:val="9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意义不同。检定是我国计量法(第九条)明确规定的强制性执法行为, 必须是由具有资质的计量检定机构完成，具有强制性的法律效力，属于法制计量管理的范畴。校准是非强制性的，可以是有资质的计量检定机构完成，也可以是组织或个人自愿的测量行为,不具有强制性的法律效力。</w:t>
            </w:r>
            <w:r>
              <w:rPr>
                <w:rFonts w:hint="default"/>
                <w:color w:val="000000" w:themeColor="text1"/>
                <w14:textFill>
                  <w14:solidFill>
                    <w14:schemeClr w14:val="tx1"/>
                  </w14:solidFill>
                </w14:textFill>
              </w:rPr>
            </w:r>
          </w:p>
          <w:p>
            <w:pPr>
              <w:pStyle w:val="1996"/>
              <w:keepNext w:val="false"/>
              <w:keepLines w:val="false"/>
              <w:numPr>
                <w:ilvl w:val="0"/>
                <w:numId w:val="9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依据不同。检定的技术依据是执行国家计量检定系统表和检定规程(JJG),为国家法定技术文件。校准的技术依据是国家校准规范(JJF)，也可根据实际需要和技术要求自行制定、经过实际验证、技术确认的校准方法。</w:t>
            </w:r>
            <w:r>
              <w:rPr>
                <w:rFonts w:hint="default"/>
                <w:color w:val="000000" w:themeColor="text1"/>
                <w14:textFill>
                  <w14:solidFill>
                    <w14:schemeClr w14:val="tx1"/>
                  </w14:solidFill>
                </w14:textFill>
              </w:rPr>
            </w:r>
          </w:p>
          <w:p>
            <w:pPr>
              <w:pStyle w:val="1996"/>
              <w:keepNext w:val="false"/>
              <w:keepLines w:val="false"/>
              <w:numPr>
                <w:ilvl w:val="0"/>
                <w:numId w:val="9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途径不同。检定是有资质的计量检定机构用更高级计量器具来检查仪器的量值溯源的过程,是由上到下的量值传递。校准是有资质的计量检定机构对仪器进行校准，也可以是检测机构自己校准,是由下到上的量值溯源。</w:t>
            </w:r>
            <w:r>
              <w:rPr>
                <w:rFonts w:hint="default"/>
                <w:color w:val="000000" w:themeColor="text1"/>
                <w14:textFill>
                  <w14:solidFill>
                    <w14:schemeClr w14:val="tx1"/>
                  </w14:solidFill>
                </w14:textFill>
              </w:rPr>
            </w:r>
          </w:p>
          <w:p>
            <w:pPr>
              <w:pStyle w:val="1996"/>
              <w:keepNext w:val="false"/>
              <w:keepLines w:val="false"/>
              <w:numPr>
                <w:ilvl w:val="0"/>
                <w:numId w:val="9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证书不同。（a）检定证书对检定有效期有明显要求，大部分环境检测仪器检定周期为一年，有个别仪器，例如原子吸收光谱仪检定周期为两年。校准证书没有对证书的有效期给出明确的规定,一般情况下是在备注中说明</w:t>
            </w:r>
            <w:r>
              <w:rPr>
                <w:rFonts w:hint="eastAsia"/>
                <w:color w:val="000000" w:themeColor="text1"/>
                <w:lang w:eastAsia="zh-CN"/>
                <w14:textFill>
                  <w14:solidFill>
                    <w14:schemeClr w14:val="tx1"/>
                  </w14:solidFill>
                </w14:textFill>
              </w:rPr>
              <w:t xml:space="preserve">“</w:t>
            </w:r>
            <w:r>
              <w:rPr>
                <w:rFonts w:hint="default"/>
                <w:color w:val="000000" w:themeColor="text1"/>
                <w14:textFill>
                  <w14:solidFill>
                    <w14:schemeClr w14:val="tx1"/>
                  </w14:solidFill>
                </w14:textFill>
              </w:rPr>
              <w:t xml:space="preserve">为保证被校仪器技术指标的准确可靠，通常情况下应一年校准一次</w:t>
            </w:r>
            <w:r>
              <w:rPr>
                <w:rFonts w:hint="eastAsia"/>
                <w:color w:val="000000" w:themeColor="text1"/>
                <w:lang w:eastAsia="zh-CN"/>
                <w14:textFill>
                  <w14:solidFill>
                    <w14:schemeClr w14:val="tx1"/>
                  </w14:solidFill>
                </w14:textFill>
              </w:rPr>
              <w:t xml:space="preserve">”</w:t>
            </w:r>
            <w:r>
              <w:rPr>
                <w:rFonts w:hint="default"/>
                <w:color w:val="000000" w:themeColor="text1"/>
                <w14:textFill>
                  <w14:solidFill>
                    <w14:schemeClr w14:val="tx1"/>
                  </w14:solidFill>
                </w14:textFill>
              </w:rPr>
              <w:t xml:space="preserve">。(b)检定对仪器的技术指标进行标定，做出结果判定, 合格出具《检定证书》,不合格出具《不合格通知书》。校准根据校准内容出具《校准证书》给出仪器的示值误差、重复性、修正值、偏差等技术指标,不给出合格与否的判断。</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检验检测设备、计量器具的误差超出标准范围的，应立即停止使用并张贴标识，在设备运行记录本记录停用日期，报生产运行室进行维修，修复后重新检定/校准或核查。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4.2.8 检验检测设备、计量器具校准发现超差时，应立即查明原因并追溯校准前的检验检测结果的准确性和有效性。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检定/校准证书的确认与应用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设备管理员在收到检定/校准证书后，及时组织实验检测员对检定/校准证书进行确认，填写</w:t>
      </w:r>
      <w:r>
        <w:fldChar w:fldCharType="begin"/>
      </w:r>
      <w:r>
        <w:instrText xml:space="preserve"> HYPERLINK "https://pqsuhhq8yu6.feishu.cn/wiki/AnlrwUMSwiDAeRkgkqtcIa66nEb" \h </w:instrText>
      </w:r>
      <w:r>
        <w:fldChar w:fldCharType="separate"/>
      </w:r>
      <w:r>
        <w:rPr>
          <w:color w:val="000000" w:themeColor="text1"/>
          <w14:textFill>
            <w14:solidFill>
              <w14:schemeClr w14:val="tx1"/>
            </w14:solidFill>
          </w14:textFill>
        </w:rPr>
        <w:t xml:space="preserve">ZJZ/JL 05-3 </w:t>
      </w:r>
      <w:r>
        <w:rPr>
          <w:rFonts w:hint="eastAsia"/>
          <w:color w:val="000000" w:themeColor="text1"/>
          <w14:textFill>
            <w14:solidFill>
              <w14:schemeClr w14:val="tx1"/>
            </w14:solidFill>
          </w14:textFill>
        </w:rPr>
        <w:t xml:space="preserve">检定/校准确认记录</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，由技术负责人审核。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检定是国家法定计量检定机构依据国家规定的计量检定规程对仪器的性能进行的评价，检定证书中给出的一些技术指标，例如示值误差、偏差、重复性、最大允许误差、不确定度等在计量标准器具的规定范围之内，对仪器的影响可以忽略，仪器可以正常操作，测定值不用修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仪器的不确定度作为B类不确定度，用在不确定度评定中。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如果校准和标准物质数据中包含校准值、参考值或修正因子，实验室应将该参考值和修正因子在现场进行标注提示，确保在检测检验和数据处理过程中得到更新和应用，并保留相关记录。校准因子的使用，执行</w:t>
      </w:r>
      <w:r>
        <w:fldChar w:fldCharType="begin"/>
      </w:r>
      <w:r>
        <w:instrText xml:space="preserve"> HYPERLINK "https://pqsuhhq8yu6.feishu.cn/wiki/PPilwtEN3ibV88kQ4sAcTV7jn7e" \h </w:instrText>
      </w:r>
      <w:r>
        <w:fldChar w:fldCharType="separate"/>
      </w:r>
      <w:r>
        <w:rPr>
          <w:color w:val="000000" w:themeColor="text1"/>
          <w14:textFill>
            <w14:solidFill>
              <w14:schemeClr w14:val="tx1"/>
            </w14:solidFill>
          </w14:textFill>
        </w:rPr>
        <w:t xml:space="preserve">ZJZ/XZ 01 校准因子应用实施细则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量值溯源标识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按照</w:t>
      </w:r>
      <w:r>
        <w:fldChar w:fldCharType="begin"/>
      </w:r>
      <w:r>
        <w:instrText xml:space="preserve"> HYPERLINK "https://pqsuhhq8yu6.feishu.cn/wiki/RJWKwGmfXifeHrkkH1ycK9f0njc" \h </w:instrText>
      </w:r>
      <w:r>
        <w:fldChar w:fldCharType="separate"/>
      </w:r>
      <w:r>
        <w:rPr>
          <w:color w:val="000000" w:themeColor="text1"/>
          <w14:textFill>
            <w14:solidFill>
              <w14:schemeClr w14:val="tx1"/>
            </w14:solidFill>
          </w14:textFill>
        </w:rPr>
        <w:t xml:space="preserve">ZJZ/CX-5 设备管理程序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的要求在设备及计量器具上粘贴设备计量标识。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当计量器具上不宜粘贴计量标识标识（影响计量器具本身的精确度）时，可在计量器具使用场所附近集中粘贴，方便于及时查找。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量值溯源状态保持及问题处理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实验检测员在使用设备过程中，应关注设备计量标识情况，发现标识缺损或者超过检定/校准有效期时应及时重新标识或者及时检定/校准。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经检定/校准发现设备状态出现异常时，按照</w:t>
      </w:r>
      <w:r>
        <w:fldChar w:fldCharType="begin"/>
      </w:r>
      <w:r>
        <w:instrText xml:space="preserve"> HYPERLINK "https://pqsuhhq8yu6.feishu.cn/wiki/RJWKwGmfXifeHrkkH1ycK9f0njc" \h </w:instrText>
      </w:r>
      <w:r>
        <w:fldChar w:fldCharType="separate"/>
      </w:r>
      <w:r>
        <w:rPr>
          <w:color w:val="000000" w:themeColor="text1"/>
          <w14:textFill>
            <w14:solidFill>
              <w14:schemeClr w14:val="tx1"/>
            </w14:solidFill>
          </w14:textFill>
        </w:rPr>
        <w:t xml:space="preserve">ZJZ/CX-5 设备管理程序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的要求执行报修，维修后经核查、检定或校准合格方可使用，维修后不合格需要停止使用的设备，对设备进行报废，并粘贴停用标识。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量值溯源记录保存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检定/校准完成后，检定/校准证书《ZJZ/JL05-3检定/校准结果验证记录》存入设备档案，岗位保留复印件。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"https://pqsuhhq8yu6.feishu.cn/wiki/RJWKwGmfXifeHrkkH1ycK9f0njc" \h </w:instrText>
      </w:r>
      <w:r>
        <w:fldChar w:fldCharType="separate"/>
      </w:r>
      <w:r>
        <w:rPr>
          <w:color w:val="000000" w:themeColor="text1"/>
          <w14:textFill>
            <w14:solidFill>
              <w14:schemeClr w14:val="tx1"/>
            </w14:solidFill>
          </w14:textFill>
        </w:rPr>
        <w:t xml:space="preserve">ZJZ/CX-5 设备管理程序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"https://pqsuhhq8yu6.feishu.cn/wiki/QqIQwQJn6iSKH5kfFP7clk91nIh" \h </w:instrText>
      </w:r>
      <w:r>
        <w:fldChar w:fldCharType="separate"/>
      </w:r>
      <w:r>
        <w:rPr>
          <w:color w:val="000000" w:themeColor="text1"/>
          <w14:textFill>
            <w14:solidFill>
              <w14:schemeClr w14:val="tx1"/>
            </w14:solidFill>
          </w14:textFill>
        </w:rPr>
        <w:t xml:space="preserve">ZJZ/CX-13 服务和供应品管理程序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"https://pqsuhhq8yu6.feishu.cn/wiki/PPilwtEN3ibV88kQ4sAcTV7jn7e" \h </w:instrText>
      </w:r>
      <w:r>
        <w:fldChar w:fldCharType="separate"/>
      </w:r>
      <w:r>
        <w:rPr>
          <w:color w:val="000000" w:themeColor="text1"/>
          <w14:textFill>
            <w14:solidFill>
              <w14:schemeClr w14:val="tx1"/>
            </w14:solidFill>
          </w14:textFill>
        </w:rPr>
        <w:t xml:space="preserve">ZJZ/XZ 01 校准因子应用实施细则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"https://pqsuhhq8yu6.feishu.cn/wiki/Hwh3wc1hZiNZPrkttgDcCo9gnXd" \h </w:instrText>
      </w:r>
      <w:r>
        <w:fldChar w:fldCharType="separate"/>
      </w:r>
      <w:r>
        <w:rPr>
          <w:color w:val="000000" w:themeColor="text1"/>
          <w14:textFill>
            <w14:solidFill>
              <w14:schemeClr w14:val="tx1"/>
            </w14:solidFill>
          </w14:textFill>
        </w:rPr>
        <w:t xml:space="preserve">ZJZ/JL 06-1 设备/计量器具/压力仪表/标准物质检定/校准周期表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"https://pqsuhhq8yu6.feishu.cn/wiki/AnlrwUMSwiDAeRkgkqtcIa66nEb" \h </w:instrText>
      </w:r>
      <w:r>
        <w:fldChar w:fldCharType="separate"/>
      </w:r>
      <w:r>
        <w:rPr>
          <w:color w:val="000000" w:themeColor="text1"/>
          <w14:textFill>
            <w14:solidFill>
              <w14:schemeClr w14:val="tx1"/>
            </w14:solidFill>
          </w14:textFill>
        </w:rPr>
        <w:t xml:space="preserve">ZJZ/JL 05-3 </w:t>
      </w:r>
      <w:r>
        <w:rPr>
          <w:rFonts w:hint="eastAsia"/>
          <w:color w:val="000000" w:themeColor="text1"/>
          <w14:textFill>
            <w14:solidFill>
              <w14:schemeClr w14:val="tx1"/>
            </w14:solidFill>
          </w14:textFill>
        </w:rPr>
        <w:t xml:space="preserve">检定/校准确认记录</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ascii="宋体"/>
          <w:sz w:val="24"/>
          <w:highlight w:val="yellow"/>
        </w:rPr>
        <w:t xml:space="preserve">ZJZ/JL05</w:t>
      </w:r>
      <w:r>
        <w:rPr>
          <w:rFonts w:hint="eastAsia" w:ascii="宋体"/>
          <w:sz w:val="24"/>
          <w:highlight w:val="yellow"/>
        </w:rPr>
        <w:t xml:space="preserve">-</w:t>
      </w:r>
      <w:r>
        <w:rPr>
          <w:rFonts w:ascii="宋体"/>
          <w:sz w:val="24"/>
          <w:highlight w:val="yellow"/>
        </w:rPr>
        <w:t xml:space="preserve">7 </w:t>
      </w:r>
      <w:bookmarkStart w:id="25" w:name="_Toc16156375"/>
      <w:r/>
      <w:bookmarkStart w:id="26" w:name="_Toc15724672"/>
      <w:r>
        <w:rPr>
          <w:rFonts w:hint="eastAsia"/>
          <w:highlight w:val="yellow"/>
        </w:rPr>
        <w:t xml:space="preserve">溶液配制记录表</w:t>
      </w:r>
      <w:bookmarkEnd w:id="25"/>
      <w:r/>
      <w:bookmarkEnd w:id="26"/>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27" w:name="_Toc19538"/>
      <w:r>
        <w:rPr>
          <w:color w:val="000000" w:themeColor="text1"/>
          <w14:textFill>
            <w14:solidFill>
              <w14:schemeClr w14:val="tx1"/>
            </w14:solidFill>
          </w14:textFill>
        </w:rPr>
        <w:t xml:space="preserve">ZJZ/CX-7 期间核查程序</w:t>
      </w:r>
      <w:bookmarkEnd w:id="27"/>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为了确保在用检验检测设备和标准物质在两次检定／校准周期之间（标准物质的有效期内）保持着良好的可信度，特制定本程序。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本程序适用于在用检验检测设备和标准物质运行期间的检查。</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质量负责人：负责组织期间核查计划的编制、审核及核查结果评价的审核。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实验室室主任：负责组织本室检测设备和标准物质期间核查计划的编制和实施，对核查结果评价。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检验检测人员：负责设备和标准物质期间核查实施。</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设备选择</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对设备和标准物质进行期间核查，以保持其检定/校准状态的置信度。选择需要进行期间核查的设备，应考虑以下因素：</w:t>
      </w:r>
      <w:r>
        <w:rPr>
          <w:color w:val="000000" w:themeColor="text1"/>
          <w14:textFill>
            <w14:solidFill>
              <w14:schemeClr w14:val="tx1"/>
            </w14:solidFill>
          </w14:textFill>
        </w:rPr>
      </w:r>
    </w:p>
    <w:p>
      <w:pPr>
        <w:pStyle w:val="1996"/>
        <w:numPr>
          <w:ilvl w:val="0"/>
          <w:numId w:val="9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性能不够稳定，漂移率大的；</w:t>
      </w:r>
      <w:r>
        <w:rPr>
          <w:color w:val="000000" w:themeColor="text1"/>
          <w14:textFill>
            <w14:solidFill>
              <w14:schemeClr w14:val="tx1"/>
            </w14:solidFill>
          </w14:textFill>
        </w:rPr>
      </w:r>
    </w:p>
    <w:p>
      <w:pPr>
        <w:pStyle w:val="1996"/>
        <w:numPr>
          <w:ilvl w:val="0"/>
          <w:numId w:val="9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经常携带到现场检测的；</w:t>
      </w:r>
      <w:r>
        <w:rPr>
          <w:color w:val="000000" w:themeColor="text1"/>
          <w14:textFill>
            <w14:solidFill>
              <w14:schemeClr w14:val="tx1"/>
            </w14:solidFill>
          </w14:textFill>
        </w:rPr>
      </w:r>
    </w:p>
    <w:p>
      <w:pPr>
        <w:pStyle w:val="1996"/>
        <w:numPr>
          <w:ilvl w:val="0"/>
          <w:numId w:val="10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使用频次较高的；</w:t>
      </w:r>
      <w:r>
        <w:rPr>
          <w:color w:val="000000" w:themeColor="text1"/>
          <w14:textFill>
            <w14:solidFill>
              <w14:schemeClr w14:val="tx1"/>
            </w14:solidFill>
          </w14:textFill>
        </w:rPr>
      </w:r>
    </w:p>
    <w:p>
      <w:pPr>
        <w:pStyle w:val="1996"/>
        <w:numPr>
          <w:ilvl w:val="0"/>
          <w:numId w:val="10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关键岗位或关键设备的，如用于贸易结算、环境保护等关键数据检测岗位的设备；</w:t>
      </w:r>
      <w:r>
        <w:rPr>
          <w:color w:val="000000" w:themeColor="text1"/>
          <w14:textFill>
            <w14:solidFill>
              <w14:schemeClr w14:val="tx1"/>
            </w14:solidFill>
          </w14:textFill>
        </w:rPr>
      </w:r>
    </w:p>
    <w:p>
      <w:pPr>
        <w:pStyle w:val="1996"/>
        <w:numPr>
          <w:ilvl w:val="0"/>
          <w:numId w:val="10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在运行过程中易受损，有可疑现象发生的；</w:t>
      </w:r>
      <w:r>
        <w:rPr>
          <w:color w:val="000000" w:themeColor="text1"/>
          <w14:textFill>
            <w14:solidFill>
              <w14:schemeClr w14:val="tx1"/>
            </w14:solidFill>
          </w14:textFill>
        </w:rPr>
      </w:r>
    </w:p>
    <w:p>
      <w:pPr>
        <w:pStyle w:val="1996"/>
        <w:numPr>
          <w:ilvl w:val="0"/>
          <w:numId w:val="10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脱离实验室控制，如借出还回的；</w:t>
      </w:r>
      <w:r>
        <w:rPr>
          <w:color w:val="000000" w:themeColor="text1"/>
          <w14:textFill>
            <w14:solidFill>
              <w14:schemeClr w14:val="tx1"/>
            </w14:solidFill>
          </w14:textFill>
        </w:rPr>
      </w:r>
    </w:p>
    <w:p>
      <w:pPr>
        <w:pStyle w:val="1996"/>
        <w:numPr>
          <w:ilvl w:val="0"/>
          <w:numId w:val="10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使用或储存环境恶劣或发生剧烈变化的；</w:t>
      </w:r>
      <w:r>
        <w:rPr>
          <w:color w:val="000000" w:themeColor="text1"/>
          <w14:textFill>
            <w14:solidFill>
              <w14:schemeClr w14:val="tx1"/>
            </w14:solidFill>
          </w14:textFill>
        </w:rPr>
      </w:r>
    </w:p>
    <w:p>
      <w:pPr>
        <w:pStyle w:val="1996"/>
        <w:numPr>
          <w:ilvl w:val="0"/>
          <w:numId w:val="10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使用寿命临近到期的；</w:t>
      </w:r>
      <w:r>
        <w:rPr>
          <w:color w:val="000000" w:themeColor="text1"/>
          <w14:textFill>
            <w14:solidFill>
              <w14:schemeClr w14:val="tx1"/>
            </w14:solidFill>
          </w14:textFill>
        </w:rPr>
      </w:r>
    </w:p>
    <w:p>
      <w:pPr>
        <w:pStyle w:val="1996"/>
        <w:numPr>
          <w:ilvl w:val="0"/>
          <w:numId w:val="10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稳定性差、故障率比较高的；</w:t>
      </w:r>
      <w:r>
        <w:rPr>
          <w:color w:val="000000" w:themeColor="text1"/>
          <w14:textFill>
            <w14:solidFill>
              <w14:schemeClr w14:val="tx1"/>
            </w14:solidFill>
          </w14:textFill>
        </w:rPr>
      </w:r>
    </w:p>
    <w:p>
      <w:pPr>
        <w:pStyle w:val="1996"/>
        <w:numPr>
          <w:ilvl w:val="0"/>
          <w:numId w:val="10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新上岗人员操作的仪器；</w:t>
      </w:r>
      <w:r>
        <w:rPr>
          <w:color w:val="000000" w:themeColor="text1"/>
          <w14:textFill>
            <w14:solidFill>
              <w14:schemeClr w14:val="tx1"/>
            </w14:solidFill>
          </w14:textFill>
        </w:rPr>
      </w:r>
    </w:p>
    <w:p>
      <w:pPr>
        <w:pStyle w:val="1996"/>
        <w:numPr>
          <w:ilvl w:val="0"/>
          <w:numId w:val="10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快到期的标准物质。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参数和量程选择</w:t>
      </w:r>
      <w:r>
        <w:rPr>
          <w:color w:val="000000" w:themeColor="text1"/>
          <w14:textFill>
            <w14:solidFill>
              <w14:schemeClr w14:val="tx1"/>
            </w14:solidFill>
          </w14:textFill>
        </w:rPr>
      </w:r>
    </w:p>
    <w:p>
      <w:pPr>
        <w:pStyle w:val="1996"/>
        <w:numPr>
          <w:ilvl w:val="0"/>
          <w:numId w:val="10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选择最常用的参数和量程；</w:t>
      </w:r>
      <w:r>
        <w:rPr>
          <w:color w:val="000000" w:themeColor="text1"/>
          <w14:textFill>
            <w14:solidFill>
              <w14:schemeClr w14:val="tx1"/>
            </w14:solidFill>
          </w14:textFill>
        </w:rPr>
      </w:r>
    </w:p>
    <w:p>
      <w:pPr>
        <w:pStyle w:val="1996"/>
        <w:numPr>
          <w:ilvl w:val="0"/>
          <w:numId w:val="11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分析历年检定或校准证书上的结果，选择示值变化大的参数和量程；</w:t>
      </w:r>
      <w:r>
        <w:rPr>
          <w:color w:val="000000" w:themeColor="text1"/>
          <w14:textFill>
            <w14:solidFill>
              <w14:schemeClr w14:val="tx1"/>
            </w14:solidFill>
          </w14:textFill>
        </w:rPr>
      </w:r>
    </w:p>
    <w:p>
      <w:pPr>
        <w:pStyle w:val="1996"/>
        <w:numPr>
          <w:ilvl w:val="0"/>
          <w:numId w:val="11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新购买的设备，选择仪器的基本参数和量程。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核查方法选择</w:t>
      </w:r>
      <w:r>
        <w:rPr>
          <w:color w:val="000000" w:themeColor="text1"/>
          <w14:textFill>
            <w14:solidFill>
              <w14:schemeClr w14:val="tx1"/>
            </w14:solidFill>
          </w14:textFill>
        </w:rPr>
      </w:r>
    </w:p>
    <w:p>
      <w:pPr>
        <w:pStyle w:val="1996"/>
        <w:numPr>
          <w:ilvl w:val="0"/>
          <w:numId w:val="11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等精度仪器间的比对；</w:t>
      </w:r>
      <w:r>
        <w:rPr>
          <w:color w:val="000000" w:themeColor="text1"/>
          <w14:textFill>
            <w14:solidFill>
              <w14:schemeClr w14:val="tx1"/>
            </w14:solidFill>
          </w14:textFill>
        </w:rPr>
      </w:r>
    </w:p>
    <w:p>
      <w:pPr>
        <w:pStyle w:val="1996"/>
        <w:numPr>
          <w:ilvl w:val="0"/>
          <w:numId w:val="11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方法比对；</w:t>
      </w:r>
      <w:r>
        <w:rPr>
          <w:color w:val="000000" w:themeColor="text1"/>
          <w14:textFill>
            <w14:solidFill>
              <w14:schemeClr w14:val="tx1"/>
            </w14:solidFill>
          </w14:textFill>
        </w:rPr>
      </w:r>
    </w:p>
    <w:p>
      <w:pPr>
        <w:pStyle w:val="1996"/>
        <w:numPr>
          <w:ilvl w:val="0"/>
          <w:numId w:val="11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采用有证标准物质进行检查；</w:t>
      </w:r>
      <w:r>
        <w:rPr>
          <w:color w:val="000000" w:themeColor="text1"/>
          <w14:textFill>
            <w14:solidFill>
              <w14:schemeClr w14:val="tx1"/>
            </w14:solidFill>
          </w14:textFill>
        </w:rPr>
      </w:r>
    </w:p>
    <w:p>
      <w:pPr>
        <w:pStyle w:val="1996"/>
        <w:numPr>
          <w:ilvl w:val="0"/>
          <w:numId w:val="11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选用稳定性好的样品进行留样复测；</w:t>
      </w:r>
      <w:r>
        <w:rPr>
          <w:color w:val="000000" w:themeColor="text1"/>
          <w14:textFill>
            <w14:solidFill>
              <w14:schemeClr w14:val="tx1"/>
            </w14:solidFill>
          </w14:textFill>
        </w:rPr>
      </w:r>
    </w:p>
    <w:p>
      <w:pPr>
        <w:pStyle w:val="1996"/>
        <w:numPr>
          <w:ilvl w:val="0"/>
          <w:numId w:val="11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通过对样品不同特性检测结果的相关性进行验算等。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期间核查实施细则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实施期间核查前， 针对常用的需要期间核查的仪器设备、 选用的核查方法， 编制相适应的期间核查实施细则。期间核查的方法可参考《CNAS-GL042 测量设备期间核查的方法指南》、《CNAS-GL035 检测和校准实验室标准物质/标准样品 验收和期间核查指南》 实施细则要包括以下内容：</w:t>
      </w:r>
      <w:r>
        <w:rPr>
          <w:color w:val="000000" w:themeColor="text1"/>
          <w14:textFill>
            <w14:solidFill>
              <w14:schemeClr w14:val="tx1"/>
            </w14:solidFill>
          </w14:textFill>
        </w:rPr>
      </w:r>
    </w:p>
    <w:p>
      <w:pPr>
        <w:pStyle w:val="1996"/>
        <w:numPr>
          <w:ilvl w:val="0"/>
          <w:numId w:val="11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仪器设备名称、型号； </w:t>
      </w:r>
      <w:r>
        <w:rPr>
          <w:color w:val="000000" w:themeColor="text1"/>
          <w14:textFill>
            <w14:solidFill>
              <w14:schemeClr w14:val="tx1"/>
            </w14:solidFill>
          </w14:textFill>
        </w:rPr>
      </w:r>
    </w:p>
    <w:p>
      <w:pPr>
        <w:pStyle w:val="1996"/>
        <w:numPr>
          <w:ilvl w:val="0"/>
          <w:numId w:val="11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选用的核查方法； </w:t>
      </w:r>
      <w:r>
        <w:rPr>
          <w:color w:val="000000" w:themeColor="text1"/>
          <w14:textFill>
            <w14:solidFill>
              <w14:schemeClr w14:val="tx1"/>
            </w14:solidFill>
          </w14:textFill>
        </w:rPr>
      </w:r>
    </w:p>
    <w:p>
      <w:pPr>
        <w:pStyle w:val="1996"/>
        <w:numPr>
          <w:ilvl w:val="0"/>
          <w:numId w:val="11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根据核查方法确定核查标准； </w:t>
      </w:r>
      <w:r>
        <w:rPr>
          <w:color w:val="000000" w:themeColor="text1"/>
          <w14:textFill>
            <w14:solidFill>
              <w14:schemeClr w14:val="tx1"/>
            </w14:solidFill>
          </w14:textFill>
        </w:rPr>
      </w:r>
    </w:p>
    <w:p>
      <w:pPr>
        <w:pStyle w:val="1996"/>
        <w:numPr>
          <w:ilvl w:val="0"/>
          <w:numId w:val="12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选择检验检测点及确定检验检测限； </w:t>
      </w:r>
      <w:r>
        <w:rPr>
          <w:color w:val="000000" w:themeColor="text1"/>
          <w14:textFill>
            <w14:solidFill>
              <w14:schemeClr w14:val="tx1"/>
            </w14:solidFill>
          </w14:textFill>
        </w:rPr>
      </w:r>
    </w:p>
    <w:p>
      <w:pPr>
        <w:pStyle w:val="1996"/>
        <w:numPr>
          <w:ilvl w:val="0"/>
          <w:numId w:val="12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明确核查判定准则； </w:t>
      </w:r>
      <w:r>
        <w:rPr>
          <w:color w:val="000000" w:themeColor="text1"/>
          <w14:textFill>
            <w14:solidFill>
              <w14:schemeClr w14:val="tx1"/>
            </w14:solidFill>
          </w14:textFill>
        </w:rPr>
      </w:r>
    </w:p>
    <w:p>
      <w:pPr>
        <w:pStyle w:val="1996"/>
        <w:numPr>
          <w:ilvl w:val="0"/>
          <w:numId w:val="12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规定核查设施环境条件、相关记录及数据处理方法；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期间核查实施细则由实验室室主任组织编制，经技术负责人审核后实施。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期间核查的实施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质量监督员年初组织实验室室主任编制设备期间核查计划，</w:t>
      </w:r>
      <w:r>
        <w:rPr>
          <w:color w:val="000000" w:themeColor="text1"/>
          <w:highlight w:val="yellow"/>
          <w14:textFill>
            <w14:solidFill>
              <w14:schemeClr w14:val="tx1"/>
            </w14:solidFill>
          </w14:textFill>
        </w:rPr>
        <w:t xml:space="preserve">填写</w:t>
      </w:r>
      <w:r>
        <w:fldChar w:fldCharType="begin"/>
      </w:r>
      <w:r>
        <w:instrText xml:space="preserve"> HYPERLINK "https://pqsuhhq8yu6.feishu.cn/wiki/HQ2qwngN1iuosAkKdmXcPkxenNg" \h </w:instrText>
      </w:r>
      <w:r>
        <w:fldChar w:fldCharType="separate"/>
      </w:r>
      <w:r>
        <w:rPr>
          <w:color w:val="000000" w:themeColor="text1"/>
          <w:highlight w:val="yellow"/>
          <w14:textFill>
            <w14:solidFill>
              <w14:schemeClr w14:val="tx1"/>
            </w14:solidFill>
          </w14:textFill>
        </w:rPr>
        <w:t xml:space="preserve">ZJZ/JL 07-1 设备/标准物质期间核查计划表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t xml:space="preserve">，由质量负责人审核后组织实施。设备和标准物质的期间核查纳入质量检测站年度质量控制计划实施。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检验检测人员负责设备期间核查实施，执行期间核查实施细则，并填写</w:t>
      </w:r>
      <w:r>
        <w:fldChar w:fldCharType="begin"/>
      </w:r>
      <w:r>
        <w:instrText xml:space="preserve"> HYPERLINK "https://pqsuhhq8yu6.feishu.cn/wiki/Dt2ZwiNoIivv6TkxLLuc0KX1nyb" \h </w:instrText>
      </w:r>
      <w:r>
        <w:fldChar w:fldCharType="separate"/>
      </w:r>
      <w:r>
        <w:rPr>
          <w:color w:val="000000" w:themeColor="text1"/>
          <w14:textFill>
            <w14:solidFill>
              <w14:schemeClr w14:val="tx1"/>
            </w14:solidFill>
          </w14:textFill>
        </w:rPr>
        <w:t xml:space="preserve">ZJZ/JL07-1期间核查记录表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质量负责人负责对核查结果进行评估审核确认，填写</w:t>
      </w:r>
      <w:r>
        <w:fldChar w:fldCharType="begin"/>
      </w:r>
      <w:r>
        <w:instrText xml:space="preserve"> HYPERLINK "https://pqsuhhq8yu6.feishu.cn/wiki/Dt2ZwiNoIivv6TkxLLuc0KX1nyb" \h </w:instrText>
      </w:r>
      <w:r>
        <w:fldChar w:fldCharType="separate"/>
      </w:r>
      <w:r>
        <w:rPr>
          <w:color w:val="000000" w:themeColor="text1"/>
          <w14:textFill>
            <w14:solidFill>
              <w14:schemeClr w14:val="tx1"/>
            </w14:solidFill>
          </w14:textFill>
        </w:rPr>
        <w:t xml:space="preserve">ZJZ/JL 07-1 期间核查记录表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。结果满意时，仪器可投入使用；结果不满意时，应立即分析原因，执行</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和</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期间核查的记录交资料管理员作为质量控制计划的一部分存档。</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CNAS-GL042 测量设备期间核查的方法指南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CNAS-GL035 检测和校准实验室标准物质/标准样品 验收和期间核查指南</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"https://pqsuhhq8yu6.feishu.cn/wiki/HQ2qwngN1iuosAkKdmXcPkxenNg" \h </w:instrText>
      </w:r>
      <w:r>
        <w:fldChar w:fldCharType="separate"/>
      </w:r>
      <w:r>
        <w:rPr>
          <w:color w:val="000000" w:themeColor="text1"/>
          <w:highlight w:val="yellow"/>
          <w14:textFill>
            <w14:solidFill>
              <w14:schemeClr w14:val="tx1"/>
            </w14:solidFill>
          </w14:textFill>
        </w:rPr>
        <w:t xml:space="preserve">ZJZ/JL 07-1 设备/标准物质期间核查计划表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"https://pqsuhhq8yu6.feishu.cn/wiki/Dt2ZwiNoIivv6TkxLLuc0KX1nyb" \h </w:instrText>
      </w:r>
      <w:r>
        <w:fldChar w:fldCharType="separate"/>
      </w:r>
      <w:r>
        <w:rPr>
          <w:color w:val="000000" w:themeColor="text1"/>
          <w14:textFill>
            <w14:solidFill>
              <w14:schemeClr w14:val="tx1"/>
            </w14:solidFill>
          </w14:textFill>
        </w:rPr>
        <w:t xml:space="preserve">ZJZ/JL 07-2 期间核查记录表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28" w:name="_Toc28608"/>
      <w:r>
        <w:rPr>
          <w:color w:val="000000" w:themeColor="text1"/>
          <w14:textFill>
            <w14:solidFill>
              <w14:schemeClr w14:val="tx1"/>
            </w14:solidFill>
          </w14:textFill>
        </w:rPr>
        <w:t xml:space="preserve">ZJZ/CX-8 标准物质管理程序</w:t>
      </w:r>
      <w:bookmarkEnd w:id="28"/>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为保证检验检测工作的质量和检验检测结果的准确性，对标准物质的采购、存储、使用和处置进行严格管理，特制订本程序。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本程序适用于本站所有标准物质的管理控制。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最高管理者/站长：负责本站标准物质的配置。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技术负责人/质量负责人：负责本站标准物质采购计划的审核。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材料管理员：负责组织本站标准物质采购计划的汇总、上报工作，负责组织本站标准物质的到货验收。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实验室室主任：负责组织本室标准物质采购计划的编写、组织本室标准物质的到货验收。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检验检测人员：负责本岗位标准物质的上报、到货验收及日常使用。</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标准物质的购买及验收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各实验室室主任根据需要上报本室标准物质采购计划，由材料管理员汇总后上报技术负责人/质量负责人审批，审批后报中心生产运行室采购。具体采购流程执行</w:t>
      </w:r>
      <w:r>
        <w:fldChar w:fldCharType="begin"/>
      </w:r>
      <w:r>
        <w:instrText xml:space="preserve"> HYPERLINK "https://pqsuhhq8yu6.feishu.cn/wiki/QqIQwQJn6iSKH5kfFP7clk91nIh" \h </w:instrText>
      </w:r>
      <w:r>
        <w:fldChar w:fldCharType="separate"/>
      </w:r>
      <w:r>
        <w:rPr>
          <w:color w:val="000000" w:themeColor="text1"/>
          <w14:textFill>
            <w14:solidFill>
              <w14:schemeClr w14:val="tx1"/>
            </w14:solidFill>
          </w14:textFill>
        </w:rPr>
        <w:t xml:space="preserve">ZJZ/CX-13 服务和供应品管理程序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申请采购的标准物质必须在计划中明确相应级别，如需要指定生产厂家、规格型号的应在计划中说明。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采购的标准物质由材料管理员组织各实验室验收，主要内容包括：数量和品种是否与购买要求一致；包装是否完好，标识是否清晰、完整；有无证书；是否在有效期内；从外观上进行判断，如装于安瓿瓶内的溶液有无沉淀、变色、分层等异常现象，必要和可行时应通过适当的检测手段，以确保满足检测方法的要求。验收合格后，材料管理岗和验收人员填写</w:t>
      </w:r>
      <w:r>
        <w:fldChar w:fldCharType="begin"/>
      </w:r>
      <w:r>
        <w:instrText xml:space="preserve"> HYPERLINK "https://pqsuhhq8yu6.feishu.cn/wiki/K24rw1uVjiwY6wkmV5hcPyRcnZg" \h </w:instrText>
      </w:r>
      <w:r>
        <w:fldChar w:fldCharType="separate"/>
      </w:r>
      <w:r>
        <w:rPr>
          <w:color w:val="000000" w:themeColor="text1"/>
          <w14:textFill>
            <w14:solidFill>
              <w14:schemeClr w14:val="tx1"/>
            </w14:solidFill>
          </w14:textFill>
        </w:rPr>
        <w:t xml:space="preserve">ZJZ/JL08-1试剂、药品、标准物质验收单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，并在</w:t>
      </w:r>
      <w:r>
        <w:fldChar w:fldCharType="begin"/>
      </w:r>
      <w:r>
        <w:instrText xml:space="preserve"> HYPERLINK "https://pqsuhhq8yu6.feishu.cn/wiki/VycgwHmuaiYd1qkQRItcTz4qnVe" \h </w:instrText>
      </w:r>
      <w:r>
        <w:fldChar w:fldCharType="separate"/>
      </w:r>
      <w:r>
        <w:rPr>
          <w:color w:val="000000" w:themeColor="text1"/>
          <w14:textFill>
            <w14:solidFill>
              <w14:schemeClr w14:val="tx1"/>
            </w14:solidFill>
          </w14:textFill>
        </w:rPr>
        <w:t xml:space="preserve">ZJZ/JL08-2标准物质入库登记表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中记录。如验收不合格，及时将验收情况报生产运行室，退回供货方。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标准物质的储存和领用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标准物质应存放在阴凉处，密封保存，有特殊要求的按相应要求保存。实验室应设定专门的存放地点，予以明确标识，并由综合管理室材料管理岗负责保管建立</w:t>
      </w:r>
      <w:r>
        <w:fldChar w:fldCharType="begin"/>
      </w:r>
      <w:r>
        <w:instrText xml:space="preserve"> HYPERLINK "https://pqsuhhq8yu6.feishu.cn/wiki/VTRkwyOAqiHDMtkE2YccoLNOn8d" \h </w:instrText>
      </w:r>
      <w:r>
        <w:fldChar w:fldCharType="separate"/>
      </w:r>
      <w:r>
        <w:rPr>
          <w:color w:val="000000" w:themeColor="text1"/>
          <w14:textFill>
            <w14:solidFill>
              <w14:schemeClr w14:val="tx1"/>
            </w14:solidFill>
          </w14:textFill>
        </w:rPr>
        <w:t xml:space="preserve">ZJZ/JL 08-6 标准物质台账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，并动态更新，当检验检测人员领用时填写</w:t>
      </w:r>
      <w:r>
        <w:fldChar w:fldCharType="begin"/>
      </w:r>
      <w:r>
        <w:instrText xml:space="preserve"> HYPERLINK "https://pqsuhhq8yu6.feishu.cn/wiki/MFUQwe5f6ib7TdkUI46cH5NDnsc" \h </w:instrText>
      </w:r>
      <w:r>
        <w:fldChar w:fldCharType="separate"/>
      </w:r>
      <w:r>
        <w:rPr>
          <w:color w:val="000000" w:themeColor="text1"/>
          <w14:textFill>
            <w14:solidFill>
              <w14:schemeClr w14:val="tx1"/>
            </w14:solidFill>
          </w14:textFill>
        </w:rPr>
        <w:t xml:space="preserve">ZJZ/JL 08-3 标准物质领用登记表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试剂和标准物质在储存过程中，应特别关注特定要求，包括其毒性、对热、空气和光的稳定性、与其他化学试剂的反应、储存环境等。通常用安瓿瓶装的液体物质可存放在泡沫盒内，固体物质存放在干燥器内密闭保存，装标准气体的钢瓶应固定存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标准物质的所有技术资料和证书由综合管理室统一管理，复印件分发到各岗位或存放地点。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标准物质应定期检查，过期的应及时处理，不足时应及时申购。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标准物质的使用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标准物质必须在有效期内使用。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日常检测中绘制工作曲线时，应尽可能使用有证标准溶液。</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进行重要样品检测(如仲裁样品)或进行重大质量活动(如实验室比对和能力验证)时，应先使用标准物质作验证实验，以证明检测过程的可靠性。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日常检测工作中使用有证标准样品进行质量控制。对于日常分析中难以采集平行样进行质量控制的项目，应该经常利用标准样品进行控制；平时开展频次较低的检测项目，检测时也应使用标准样品进行控制；进行加标回收实验时，建议使用标准溶液作为加入物质。具体质控方式和频次执行</w:t>
      </w:r>
      <w:r>
        <w:fldChar w:fldCharType="begin"/>
      </w:r>
      <w:r>
        <w:instrText xml:space="preserve"> HYPERLINK "https://pqsuhhq8yu6.feishu.cn/wiki/Zgr6w5hjkiKf73kMDRmcJibrnWe" \h </w:instrText>
      </w:r>
      <w:r>
        <w:fldChar w:fldCharType="separate"/>
      </w:r>
      <w:r>
        <w:rPr>
          <w:color w:val="000000" w:themeColor="text1"/>
          <w14:textFill>
            <w14:solidFill>
              <w14:schemeClr w14:val="tx1"/>
            </w14:solidFill>
          </w14:textFill>
        </w:rPr>
        <w:t xml:space="preserve">ZJZ/CX-27 检验检测质量控制程序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研究新方法或进行方法验证时，应包含使用标准物质进行验证实验的内容。检测设备按照</w:t>
      </w:r>
      <w:r>
        <w:fldChar w:fldCharType="begin"/>
      </w:r>
      <w:r>
        <w:instrText xml:space="preserve"> HYPERLINK "https://pqsuhhq8yu6.feishu.cn/wiki/URQEwJW3IiLWOokueircJ9Rcngb" \h </w:instrText>
      </w:r>
      <w:r>
        <w:fldChar w:fldCharType="separate"/>
      </w:r>
      <w:r>
        <w:rPr>
          <w:color w:val="000000" w:themeColor="text1"/>
          <w14:textFill>
            <w14:solidFill>
              <w14:schemeClr w14:val="tx1"/>
            </w14:solidFill>
          </w14:textFill>
        </w:rPr>
        <w:t xml:space="preserve">ZJZ/CX-7 期间核查程序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进行期间核查时，可以使用标准物质核查其准确度。对于无法检定的设备，应尽量利用标准物质进行定期校准。对于半定量的检测设备(如应急监测设备)，也应定期使用标准物质进行比对，以维持设备的正常状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4.3.6 标准物质使用时，检验检测人员填写</w:t>
      </w:r>
      <w:r>
        <w:fldChar w:fldCharType="begin"/>
      </w:r>
      <w:r>
        <w:instrText xml:space="preserve"> HYPERLINK "https://pqsuhhq8yu6.feishu.cn/wiki/IgTAwgSP4i6FfqkeFhiccOixnOe" \h </w:instrText>
      </w:r>
      <w:r>
        <w:fldChar w:fldCharType="separate"/>
      </w:r>
      <w:r>
        <w:rPr>
          <w:color w:val="000000" w:themeColor="text1"/>
          <w14:textFill>
            <w14:solidFill>
              <w14:schemeClr w14:val="tx1"/>
            </w14:solidFill>
          </w14:textFill>
        </w:rPr>
        <w:t xml:space="preserve">ZJZ/JL08-4  标准物质使用记录表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4.3.7 打开的标准物质一次不能使用完时，应封口，贴上标签，注明打开日期及有效期。保存在药品冷藏柜中，并做好记录。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4.3.8 标准物质按照年度期间核查计划定期开展期间核查工作。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4.3.9 当使用标准物质配制标准溶液时，执行</w:t>
      </w:r>
      <w:r>
        <w:fldChar w:fldCharType="begin"/>
      </w:r>
      <w:r>
        <w:instrText xml:space="preserve"> HYPERLINK "https://pqsuhhq8yu6.feishu.cn/wiki/FTcownVTFiVdQzkh0m9ccH4ln0e" \h </w:instrText>
      </w:r>
      <w:r>
        <w:fldChar w:fldCharType="separate"/>
      </w:r>
      <w:r>
        <w:rPr>
          <w:color w:val="000000" w:themeColor="text1"/>
          <w14:textFill>
            <w14:solidFill>
              <w14:schemeClr w14:val="tx1"/>
            </w14:solidFill>
          </w14:textFill>
        </w:rPr>
        <w:t xml:space="preserve">ZJZ/CX-9 标准溶液管理程序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，标准溶液配制完毕后填写</w:t>
      </w:r>
      <w:r>
        <w:fldChar w:fldCharType="begin"/>
      </w:r>
      <w:r>
        <w:instrText xml:space="preserve"> HYPERLINK "https://pqsuhhq8yu6.feishu.cn/wiki/TFrvwz0DsiNhhOkpNRHcB0F9nNf" \h </w:instrText>
      </w:r>
      <w:r>
        <w:fldChar w:fldCharType="separate"/>
      </w:r>
      <w:r>
        <w:rPr>
          <w:color w:val="000000" w:themeColor="text1"/>
          <w14:textFill>
            <w14:solidFill>
              <w14:schemeClr w14:val="tx1"/>
            </w14:solidFill>
          </w14:textFill>
        </w:rPr>
        <w:t xml:space="preserve">ZJZ/JL 08-5 标准溶液配制、标定记录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。标准溶液标签应至少包括溶液名称、浓度、配制人、审核人、配制日期、有效期等6项内容，有效期原则上不超过60天。普通溶液标签应至少包含溶液名称、浓度、配制人等3项内容。过期标准物质处置依据</w:t>
      </w:r>
      <w:r>
        <w:fldChar w:fldCharType="begin"/>
      </w:r>
      <w:r>
        <w:instrText xml:space="preserve"> HYPERLINK "https://pqsuhhq8yu6.feishu.cn/wiki/EwoTwFjyUikY5nk3rgac0xqGnkc" \h </w:instrText>
      </w:r>
      <w:r>
        <w:fldChar w:fldCharType="separate"/>
      </w:r>
      <w:r>
        <w:rPr>
          <w:color w:val="000000" w:themeColor="text1"/>
          <w14:textFill>
            <w14:solidFill>
              <w14:schemeClr w14:val="tx1"/>
            </w14:solidFill>
          </w14:textFill>
        </w:rPr>
        <w:t xml:space="preserve">ZJZ/CX-26 样品管理程序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执行。</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"https://pqsuhhq8yu6.feishu.cn/wiki/URQEwJW3IiLWOokueircJ9Rcngb" \h </w:instrText>
      </w:r>
      <w:r>
        <w:fldChar w:fldCharType="separate"/>
      </w:r>
      <w:r>
        <w:rPr>
          <w:color w:val="000000" w:themeColor="text1"/>
          <w14:textFill>
            <w14:solidFill>
              <w14:schemeClr w14:val="tx1"/>
            </w14:solidFill>
          </w14:textFill>
        </w:rPr>
        <w:t xml:space="preserve">ZJZ/CX-7 期间核查程序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"https://pqsuhhq8yu6.feishu.cn/wiki/FTcownVTFiVdQzkh0m9ccH4ln0e" \h </w:instrText>
      </w:r>
      <w:r>
        <w:fldChar w:fldCharType="separate"/>
      </w:r>
      <w:r>
        <w:rPr>
          <w:color w:val="000000" w:themeColor="text1"/>
          <w14:textFill>
            <w14:solidFill>
              <w14:schemeClr w14:val="tx1"/>
            </w14:solidFill>
          </w14:textFill>
        </w:rPr>
        <w:t xml:space="preserve">ZJZ/CX-9 标准溶液管理程序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"https://pqsuhhq8yu6.feishu.cn/wiki/QqIQwQJn6iSKH5kfFP7clk91nIh" \h </w:instrText>
      </w:r>
      <w:r>
        <w:fldChar w:fldCharType="separate"/>
      </w:r>
      <w:r>
        <w:rPr>
          <w:color w:val="000000" w:themeColor="text1"/>
          <w14:textFill>
            <w14:solidFill>
              <w14:schemeClr w14:val="tx1"/>
            </w14:solidFill>
          </w14:textFill>
        </w:rPr>
        <w:t xml:space="preserve">ZJZ/CX-13 服务和供应品管理程序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"https://pqsuhhq8yu6.feishu.cn/wiki/Zgr6w5hjkiKf73kMDRmcJibrnWe" \h </w:instrText>
      </w:r>
      <w:r>
        <w:fldChar w:fldCharType="separate"/>
      </w:r>
      <w:r>
        <w:rPr>
          <w:color w:val="000000" w:themeColor="text1"/>
          <w14:textFill>
            <w14:solidFill>
              <w14:schemeClr w14:val="tx1"/>
            </w14:solidFill>
          </w14:textFill>
        </w:rPr>
        <w:t xml:space="preserve">ZJZ/CX-27 检验检测质量控制程序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"https://pqsuhhq8yu6.feishu.cn/wiki/K24rw1uVjiwY6wkmV5hcPyRcnZg" \h </w:instrText>
      </w:r>
      <w:r>
        <w:fldChar w:fldCharType="separate"/>
      </w:r>
      <w:r>
        <w:rPr>
          <w:color w:val="000000" w:themeColor="text1"/>
          <w14:textFill>
            <w14:solidFill>
              <w14:schemeClr w14:val="tx1"/>
            </w14:solidFill>
          </w14:textFill>
        </w:rPr>
        <w:t xml:space="preserve">ZJZ/JL08-1试剂、药品、标准物质验收单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"https://pqsuhhq8yu6.feishu.cn/wiki/VycgwHmuaiYd1qkQRItcTz4qnVe" \h </w:instrText>
      </w:r>
      <w:r>
        <w:fldChar w:fldCharType="separate"/>
      </w:r>
      <w:r>
        <w:rPr>
          <w:color w:val="000000" w:themeColor="text1"/>
          <w14:textFill>
            <w14:solidFill>
              <w14:schemeClr w14:val="tx1"/>
            </w14:solidFill>
          </w14:textFill>
        </w:rPr>
        <w:t xml:space="preserve">ZJZ/JL08-2标准物质入库登记表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"https://pqsuhhq8yu6.feishu.cn/wiki/MFUQwe5f6ib7TdkUI46cH5NDnsc" \h </w:instrText>
      </w:r>
      <w:r>
        <w:fldChar w:fldCharType="separate"/>
      </w:r>
      <w:r>
        <w:rPr>
          <w:color w:val="000000" w:themeColor="text1"/>
          <w14:textFill>
            <w14:solidFill>
              <w14:schemeClr w14:val="tx1"/>
            </w14:solidFill>
          </w14:textFill>
        </w:rPr>
        <w:t xml:space="preserve">ZJZ/JL08-3标准物质领用登记表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"https://pqsuhhq8yu6.feishu.cn/wiki/IgTAwgSP4i6FfqkeFhiccOixnOe" \h </w:instrText>
      </w:r>
      <w:r>
        <w:fldChar w:fldCharType="separate"/>
      </w:r>
      <w:r>
        <w:rPr>
          <w:color w:val="000000" w:themeColor="text1"/>
          <w14:textFill>
            <w14:solidFill>
              <w14:schemeClr w14:val="tx1"/>
            </w14:solidFill>
          </w14:textFill>
        </w:rPr>
        <w:t xml:space="preserve">ZJZ/JL08-4 标准物质使用记录表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"https://pqsuhhq8yu6.feishu.cn/wiki/VTRkwyOAqiHDMtkE2YccoLNOn8d" \h </w:instrText>
      </w:r>
      <w:r>
        <w:fldChar w:fldCharType="separate"/>
      </w:r>
      <w:r>
        <w:rPr>
          <w:color w:val="000000" w:themeColor="text1"/>
          <w14:textFill>
            <w14:solidFill>
              <w14:schemeClr w14:val="tx1"/>
            </w14:solidFill>
          </w14:textFill>
        </w:rPr>
        <w:t xml:space="preserve">ZJZ/JL 08-5 标准溶液配制、标定记录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"https://pqsuhhq8yu6.feishu.cn/wiki/TFrvwz0DsiNhhOkpNRHcB0F9nNf" \h </w:instrText>
      </w:r>
      <w:r>
        <w:fldChar w:fldCharType="separate"/>
      </w:r>
      <w:r>
        <w:rPr>
          <w:color w:val="000000" w:themeColor="text1"/>
          <w14:textFill>
            <w14:solidFill>
              <w14:schemeClr w14:val="tx1"/>
            </w14:solidFill>
          </w14:textFill>
        </w:rPr>
        <w:t xml:space="preserve">ZJZ/JL 08-6 </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 xml:space="preserve">标准物质台账</w:t>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29" w:name="_Toc20571"/>
      <w:r>
        <w:rPr>
          <w:color w:val="000000" w:themeColor="text1"/>
          <w14:textFill>
            <w14:solidFill>
              <w14:schemeClr w14:val="tx1"/>
            </w14:solidFill>
          </w14:textFill>
        </w:rPr>
        <w:t xml:space="preserve">ZJZ/CX-9 标准溶液管理程序</w:t>
      </w:r>
      <w:bookmarkEnd w:id="29"/>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为确保检测工作中使用的标准溶液的标定结果准确、有效，特制定本程序。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适用于标准溶液的配制、标定、标识、保管、使用和验证。</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检验检测人员：负责标准溶液的配制、标定、标识、保管、使用和验证工作。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质量监督员：负责定期对标准溶液管理工作进行监督。</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检验检测人员在配制检测所需要的标准溶液时，对所需化学品的成份、浓度、相关标识、说明材料、资料等进行检查确认。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配制、标定标准溶液是在常温（15</w:t>
      </w:r>
      <w:r>
        <w:rPr>
          <w:rFonts w:hint="eastAsia" w:ascii="宋体" w:hAnsi="宋体" w:eastAsia="宋体" w:cs="宋体"/>
          <w:color w:val="000000" w:themeColor="text1"/>
          <w14:textFill>
            <w14:solidFill>
              <w14:schemeClr w14:val="tx1"/>
            </w14:solidFill>
          </w14:textFill>
        </w:rPr>
        <w:t xml:space="preserve">℃</w:t>
      </w:r>
      <w:r>
        <w:rPr>
          <w:color w:val="000000" w:themeColor="text1"/>
          <w14:textFill>
            <w14:solidFill>
              <w14:schemeClr w14:val="tx1"/>
            </w14:solidFill>
          </w14:textFill>
        </w:rPr>
        <w:t xml:space="preserve">-25</w:t>
      </w:r>
      <w:r>
        <w:rPr>
          <w:rFonts w:hint="eastAsia" w:ascii="宋体" w:hAnsi="宋体" w:eastAsia="宋体" w:cs="宋体"/>
          <w:color w:val="000000" w:themeColor="text1"/>
          <w14:textFill>
            <w14:solidFill>
              <w14:schemeClr w14:val="tx1"/>
            </w14:solidFill>
          </w14:textFill>
        </w:rPr>
        <w:t xml:space="preserve">℃</w:t>
      </w:r>
      <w:r>
        <w:rPr>
          <w:color w:val="000000" w:themeColor="text1"/>
          <w14:textFill>
            <w14:solidFill>
              <w14:schemeClr w14:val="tx1"/>
            </w14:solidFill>
          </w14:textFill>
        </w:rPr>
        <w:t xml:space="preserve">）中进行，但若标定的温度与使用温度相差过多时（一般相差10</w:t>
      </w:r>
      <w:r>
        <w:rPr>
          <w:rFonts w:hint="eastAsia" w:ascii="宋体" w:hAnsi="宋体" w:eastAsia="宋体" w:cs="宋体"/>
          <w:color w:val="000000" w:themeColor="text1"/>
          <w14:textFill>
            <w14:solidFill>
              <w14:schemeClr w14:val="tx1"/>
            </w14:solidFill>
          </w14:textFill>
        </w:rPr>
        <w:t xml:space="preserve">℃</w:t>
      </w:r>
      <w:r>
        <w:rPr>
          <w:color w:val="000000" w:themeColor="text1"/>
          <w14:textFill>
            <w14:solidFill>
              <w14:schemeClr w14:val="tx1"/>
            </w14:solidFill>
          </w14:textFill>
        </w:rPr>
        <w:t xml:space="preserve">以上时），应重新标定。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实验检测员应建立</w:t>
      </w:r>
      <w:r>
        <w:fldChar w:fldCharType="begin"/>
      </w:r>
      <w:r>
        <w:instrText xml:space="preserve"> HYPERLINK "https://pqsuhhq8yu6.feishu.cn/wiki/TFrvwz0DsiNhhOkpNRHcB0F9nNf" \h </w:instrText>
      </w:r>
      <w:r>
        <w:fldChar w:fldCharType="separate"/>
      </w:r>
      <w:r>
        <w:rPr>
          <w:color w:val="000000" w:themeColor="text1"/>
          <w14:textFill>
            <w14:solidFill>
              <w14:schemeClr w14:val="tx1"/>
            </w14:solidFill>
          </w14:textFill>
        </w:rPr>
        <w:t xml:space="preserve">ZJZ/JL08-5标准溶液配制、标定记录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，及时对标准溶液进行标定。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标准溶液的标定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标准溶液要定期标定，按照《GB/T601化学试剂标准滴定溶液的制备》执行。有特殊要求的标准溶液按照特殊要求标定。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质量要求和有效数字执行《GB/T601化学试剂标准滴定溶液的制备》中的规定。若配制温度与使用温度不同时，进行不同温度下的体积补正。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标定标准溶液，必须用基准物质。标定时所用的容量仪器均应经过严格检定/校准，在标定标准溶液及用于测定其它物质时，滴定管中溶液均应从刻度零点开始，以减少误差。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标准溶液标定时应该采用平行标定的方式确认标定结果，同一人标定的相对极差不超过标准要求，两人标定的相对极差不超过标准要求。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4.3标准溶液的标识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标准溶液瓶签应具有以下内容：名称、标定浓度、标定日期、有效期、标定人。本站规定标准溶液的有效期不超过60天，超过有效期应重新标定（标准要求临用现标按照标准执行），如果溶液变质、出现沉淀、变色等现象应重新配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4.4标准溶液的保管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见光易变质的标准溶液应置棕色瓶中，放阴凉暗处保存。在存放期中，要注意物理性状变化，如发现有沉淀，变色等情况应重配或根据具体情况处理后（如滤除沉淀）再标定使用。监督员应对标准溶液的贮存环境进行检查，并做好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4.5标准溶液的使用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4.5.1移去标准溶液应倾出后吸取，不宜直接用吸管插入瓶内，吸管放液体时要直放，管壁外不可粘有液体。</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 601化学试剂标准滴定溶液的制备》</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"https://pqsuhhq8yu6.feishu.cn/wiki/TFrvwz0DsiNhhOkpNRHcB0F9nNf" \h </w:instrText>
      </w:r>
      <w:r>
        <w:fldChar w:fldCharType="separate"/>
      </w:r>
      <w:r>
        <w:rPr>
          <w:color w:val="000000" w:themeColor="text1"/>
          <w14:textFill>
            <w14:solidFill>
              <w14:schemeClr w14:val="tx1"/>
            </w14:solidFill>
          </w14:textFill>
        </w:rPr>
        <w:t xml:space="preserve">ZJZ/JL08-5标准溶液配制、标定记录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0" w:name="_Toc32073"/>
      <w:r>
        <w:rPr>
          <w:color w:val="000000" w:themeColor="text1"/>
          <w14:textFill>
            <w14:solidFill>
              <w14:schemeClr w14:val="tx1"/>
            </w14:solidFill>
          </w14:textFill>
        </w:rPr>
        <w:t xml:space="preserve">ZJZ/CX-10 文件控制和维护程序</w:t>
      </w:r>
      <w:bookmarkEnd w:id="30"/>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为了对质量体系文件实施有效控制，确保各场所质量体系文件使用其有效版本，防止误用作废文件，特制定本程序。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本程序适用于本站质量体系的所有文件（包括内部制订和来自外部的文件）的编制、审批、发放、修改、归档管理等环节的控制。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最高管理者：负责质量手册、程序文件的批准。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技术负责人：负责组织程序文件的修订、审核。操作规程、技术记录表格、实施细则的批准。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质量负责人：负责组织质量手册的修订、审核。质量记录文件的批准。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实验室主任：负责参与体系文件的修订，按工作需求提出修订需求、落实修订内容。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资料管理员：负责质量体系文件的保管、标识、发放、借阅、归档、作废处理等工作。</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文件控制的范围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本站文件控制范围包括内部文件和外来文件。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内部文件：质量手册、方针声明、程序文件（或规章制度）、作业指导书和记录表格、会议记录、通知、计划（规划、策划）、方案等。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外来文件：法律、法规、标准、设备说明书、软件或系统操作手册、公开出版的资料或书籍、引用的外部资料性文献及客户提供的方法或资料等。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文件可承载在各种载体上，可以是数字存储设施（如U盘、硬盘、光盘等），或是模拟设备（如磁带、录像机、录像带等），还可以采用缩微胶片、纸张、相纸等。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文件分类及编号说明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文件的分类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A类文件（为各类内部文件的格式汇编）包括：质量手册，程序文件，实施细则（作业指导书），操作规程，质量记录汇编、技术记录汇编及其他内部文件。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B类文件包括：技术标准，随机配备的设备说明书（直接在原件上进行盖章、编号控制），法律法规及其他外部文件。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C、F类文件：为设备档案，其中C类为主设备档案，F类为辅助设备档案。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D类文件—检验、检测、监测报告。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E类文件—原始记录。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A类文件分类及编号说明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编   号：A＋年代号＋文件名拼音大写首字母+顺序号。</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tcBorders>
              <w:top w:val="none" w:color="000000" w:sz="4" w:space="0"/>
              <w:left w:val="single" w:color="bbbfc4" w:sz="18" w:space="0"/>
              <w:bottom w:val="none" w:color="000000" w:sz="4" w:space="0"/>
              <w:right w:val="none" w:color="000000" w:sz="4" w:space="0"/>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文件名：质量手册：ZLSC，程序文件：CXWJ，操作规程：CZGC，实施细则：SSXZ，质量记录汇编：ZLJLHB。</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年代号：体系文件版本发布的年代。</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顺序号：出现多个不同文件时增加如操作规程、实施细则，只有一个文件时不加顺序号如质量手册、程序文件。</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分发序号说明：用01,02……表示，表示本记录为第01,02……本。</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例如：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程序文件编   号：A2019CXWJ，说明：A类文件，2019年版本（当前版本发布的年代）。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程序文件受控号：A2019CXWJ-01，说明：A类文件，2019年版本（当前版本发布的年代），第1本。</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操作规程编号：A2019CZGC001，说明：A类文件，2019年版本（当前版本发布的年代）,001为第一台设备操作规程。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操作规程受控号：A2019CZGC001-01，说明：A类文件，2019年版本（当前版本发布的年代），001为第一台设备操作规程，第1本。</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B类文件分类及编号说明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B类文件受控号：</w:t>
      </w:r>
      <w:r>
        <w:rPr>
          <w:rFonts w:hint="eastAsia"/>
          <w:color w:val="000000" w:themeColor="text1"/>
          <w:lang w:val="en-US" w:eastAsia="zh-CN"/>
          <w14:textFill>
            <w14:solidFill>
              <w14:schemeClr w14:val="tx1"/>
            </w14:solidFill>
          </w14:textFill>
        </w:rPr>
        <w:t xml:space="preserve">分室号+</w:t>
      </w:r>
      <w:r>
        <w:rPr>
          <w:color w:val="000000" w:themeColor="text1"/>
          <w14:textFill>
            <w14:solidFill>
              <w14:schemeClr w14:val="tx1"/>
            </w14:solidFill>
          </w14:textFill>
        </w:rPr>
        <w:t xml:space="preserve">B+文件名拼音大写首字母+分室号+顺序号+序号。</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tcBorders>
              <w:top w:val="none" w:color="000000" w:sz="4" w:space="0"/>
              <w:left w:val="single" w:color="bbbfc4" w:sz="18" w:space="0"/>
              <w:bottom w:val="none" w:color="000000" w:sz="4" w:space="0"/>
              <w:right w:val="none" w:color="000000" w:sz="4" w:space="0"/>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文件名：技术标准：JSBZ，说明书：SMS，法律法规：FLFG，外部文件：WBWJ</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分室号：1：油田化学室，2：环境监测室，3：油气产品室， 4：润滑油室。</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顺序号： 从001开始依次往下编号。</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序   号： 从01开始依次往下编号。</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例如：环境监测室的技术标准《水质 化学需氧量的测定 快速消解分光光度法HJ/T399-2007》</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文件受控号：</w:t>
      </w:r>
      <w:r>
        <w:rPr>
          <w:rFonts w:hint="eastAsia"/>
          <w:color w:val="000000" w:themeColor="text1"/>
          <w:lang w:val="en-US" w:eastAsia="zh-CN"/>
          <w14:textFill>
            <w14:solidFill>
              <w14:schemeClr w14:val="tx1"/>
            </w14:solidFill>
          </w14:textFill>
        </w:rPr>
        <w:t xml:space="preserve">2</w:t>
      </w:r>
      <w:r>
        <w:rPr>
          <w:color w:val="000000" w:themeColor="text1"/>
          <w14:textFill>
            <w14:solidFill>
              <w14:schemeClr w14:val="tx1"/>
            </w14:solidFill>
          </w14:textFill>
        </w:rPr>
        <w:t xml:space="preserve">BJSBZ3001-01，</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B：B类文件，JSBZ：技术标准，</w:t>
      </w:r>
      <w:r>
        <w:rPr>
          <w:rFonts w:hint="eastAsia"/>
          <w:color w:val="000000" w:themeColor="text1"/>
          <w:lang w:val="en-US" w:eastAsia="zh-CN"/>
          <w14:textFill>
            <w14:solidFill>
              <w14:schemeClr w14:val="tx1"/>
            </w14:solidFill>
          </w14:textFill>
        </w:rPr>
        <w:t xml:space="preserve">2</w:t>
      </w:r>
      <w:r>
        <w:rPr>
          <w:color w:val="000000" w:themeColor="text1"/>
          <w14:textFill>
            <w14:solidFill>
              <w14:schemeClr w14:val="tx1"/>
            </w14:solidFill>
          </w14:textFill>
        </w:rPr>
        <w:t xml:space="preserve">：环境监测室，001：第一份标准，01：第1本。</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C类、F类文件分类及编号说明(设备档案编号)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油田化学实验室主设备编号：ZL-YTC-XXX，辅助设备编号：ZL-YTF-XXX。</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环境监测实验室主设备编号：ZL-HJC-XXX，辅助设备编号：ZL-HJF-XXX。</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油气产品实验室主设备编号：ZL-YQC-XXX，辅助设备编号：ZL-YQF-XXX。</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润滑油实验室主设备、辅助设备按照油气产品实验室主要设备、辅助设备编号规则管理。</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tcBorders>
              <w:top w:val="none" w:color="000000" w:sz="4" w:space="0"/>
              <w:left w:val="single" w:color="bbbfc4" w:sz="18" w:space="0"/>
              <w:bottom w:val="none" w:color="000000" w:sz="4" w:space="0"/>
              <w:right w:val="none" w:color="000000" w:sz="4" w:space="0"/>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ZL-代表质量检测站</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YT-代表环油田化学实验室，HJ-代表环境监测实验室,YQ-代表油气产品实验室</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C-代表主设备，F-代表辅助设备</w: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设备编号中XXX-代表本室设备顺序号，以</w:t>
            </w:r>
            <w:r>
              <w:rPr>
                <w:rFonts w:hint="eastAsia"/>
                <w:color w:val="000000" w:themeColor="text1"/>
                <w:lang w:eastAsia="zh-CN"/>
                <w14:textFill>
                  <w14:solidFill>
                    <w14:schemeClr w14:val="tx1"/>
                  </w14:solidFill>
                </w14:textFill>
              </w:rPr>
              <w:t xml:space="preserve">“</w:t>
            </w:r>
            <w:r>
              <w:rPr>
                <w:rFonts w:hint="default"/>
                <w:color w:val="000000" w:themeColor="text1"/>
                <w14:textFill>
                  <w14:solidFill>
                    <w14:schemeClr w14:val="tx1"/>
                  </w14:solidFill>
                </w14:textFill>
              </w:rPr>
              <w:t xml:space="preserve">001，002……</w:t>
            </w:r>
            <w:r>
              <w:rPr>
                <w:rFonts w:hint="eastAsia"/>
                <w:color w:val="000000" w:themeColor="text1"/>
                <w:lang w:eastAsia="zh-CN"/>
                <w14:textFill>
                  <w14:solidFill>
                    <w14:schemeClr w14:val="tx1"/>
                  </w14:solidFill>
                </w14:textFill>
              </w:rPr>
              <w:t xml:space="preserve">”</w:t>
            </w:r>
            <w:r>
              <w:rPr>
                <w:rFonts w:hint="default"/>
                <w:color w:val="000000" w:themeColor="text1"/>
                <w14:textFill>
                  <w14:solidFill>
                    <w14:schemeClr w14:val="tx1"/>
                  </w14:solidFill>
                </w14:textFill>
              </w:rPr>
              <w:t xml:space="preserve">表示。</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例如：环境监测室PH计设备编号为：ZL-HJC-001</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D类文件分类及编号说明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D 类文件：检验、检测、监测报告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报告编号：NO.D+XXXX（年代号）+XXX（项目编号）+XXXX（序列号），例如：NO.D20202100001。</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shd w:val="clear" w:color="auto" w:fill="fff5eb"/>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项目编号规则：</w:t>
            </w:r>
            <w:r>
              <w:rPr>
                <w:rFonts w:hint="default"/>
                <w:color w:val="000000" w:themeColor="text1"/>
                <w14:textFill>
                  <w14:solidFill>
                    <w14:schemeClr w14:val="tx1"/>
                  </w14:solidFill>
                </w14:textFill>
              </w:rPr>
            </w:r>
          </w:p>
          <w:p>
            <w:pPr>
              <w:pStyle w:val="1996"/>
              <w:keepNext w:val="false"/>
              <w:keepLines w:val="false"/>
              <w:numPr>
                <w:ilvl w:val="0"/>
                <w:numId w:val="12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油田化学实验室项目编号：101-钻井液，102-固井，103-酸压，104-防腐，105-其他。</w:t>
            </w:r>
            <w:r>
              <w:rPr>
                <w:rFonts w:hint="default"/>
                <w:color w:val="000000" w:themeColor="text1"/>
                <w14:textFill>
                  <w14:solidFill>
                    <w14:schemeClr w14:val="tx1"/>
                  </w14:solidFill>
                </w14:textFill>
              </w:rPr>
            </w:r>
          </w:p>
          <w:p>
            <w:pPr>
              <w:pStyle w:val="1996"/>
              <w:keepNext w:val="false"/>
              <w:keepLines w:val="false"/>
              <w:numPr>
                <w:ilvl w:val="0"/>
                <w:numId w:val="12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环境监测实验室项目编号：201-作业废水，202-生活污水，203-地表水，204-地下水，205-环境空气及无组织排放，206-废气，207-噪声，208-含油污泥，209-泥浆固化，210-随钻不落地，211-土壤，212-磺前废水，106-回注水。</w:t>
            </w:r>
            <w:r>
              <w:rPr>
                <w:rFonts w:hint="default"/>
                <w:color w:val="000000" w:themeColor="text1"/>
                <w14:textFill>
                  <w14:solidFill>
                    <w14:schemeClr w14:val="tx1"/>
                  </w14:solidFill>
                </w14:textFill>
              </w:rPr>
            </w:r>
          </w:p>
          <w:p>
            <w:pPr>
              <w:pStyle w:val="1996"/>
              <w:keepNext w:val="false"/>
              <w:keepLines w:val="false"/>
              <w:numPr>
                <w:ilvl w:val="0"/>
                <w:numId w:val="12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油气产品室项目编号：</w:t>
            </w:r>
            <w:r>
              <w:rPr>
                <w:rFonts w:hint="default"/>
                <w:color w:val="000000" w:themeColor="text1"/>
                <w14:textFill>
                  <w14:solidFill>
                    <w14:schemeClr w14:val="tx1"/>
                  </w14:solidFill>
                </w14:textFill>
              </w:rPr>
            </w:r>
          </w:p>
          <w:p>
            <w:pPr>
              <w:pStyle w:val="1996"/>
              <w:keepNext w:val="false"/>
              <w:keepLines w:val="false"/>
              <w:numPr>
                <w:ilvl w:val="0"/>
                <w:numId w:val="12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原油报告项目号：310-原油，311-原油含水，312-原油有机氯，313-原油密度，314-原油酸值，315-原油机械杂质，316-原油含盐，317-交接温度下的蒸汽压，318-原油基属。</w:t>
            </w:r>
            <w:r>
              <w:rPr>
                <w:rFonts w:hint="default"/>
                <w:color w:val="000000" w:themeColor="text1"/>
                <w14:textFill>
                  <w14:solidFill>
                    <w14:schemeClr w14:val="tx1"/>
                  </w14:solidFill>
                </w14:textFill>
              </w:rPr>
            </w:r>
          </w:p>
          <w:p>
            <w:pPr>
              <w:pStyle w:val="1996"/>
              <w:keepNext w:val="false"/>
              <w:keepLines w:val="false"/>
              <w:numPr>
                <w:ilvl w:val="0"/>
                <w:numId w:val="12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天然气项目号：</w:t>
            </w:r>
            <w:r>
              <w:rPr>
                <w:rFonts w:hint="eastAsia"/>
                <w:color w:val="000000" w:themeColor="text1"/>
                <w14:textFill>
                  <w14:solidFill>
                    <w14:schemeClr w14:val="tx1"/>
                  </w14:solidFill>
                </w14:textFill>
              </w:rPr>
              <w:t xml:space="preserve">天然气项目号：320-天然气，321-天然气（长输管道），322-天然气组成，323- 硫化氢， 324-水露点，325-酸性气报告，326-总硫含量，327-烃露点，328-天然气汞含量。361-液化天然气，362-车用压缩天然气</w:t>
            </w:r>
            <w:r>
              <w:rPr>
                <w:rFonts w:hint="default"/>
                <w:color w:val="000000" w:themeColor="text1"/>
                <w14:textFill>
                  <w14:solidFill>
                    <w14:schemeClr w14:val="tx1"/>
                  </w14:solidFill>
                </w14:textFill>
              </w:rPr>
            </w:r>
          </w:p>
          <w:p>
            <w:pPr>
              <w:pStyle w:val="1996"/>
              <w:keepNext w:val="false"/>
              <w:keepLines w:val="false"/>
              <w:numPr>
                <w:ilvl w:val="0"/>
                <w:numId w:val="128"/>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液化石油气项目号：330-液化石油气，331-液化石油气总硫，332-液化石油气总硫（认证）。</w:t>
            </w:r>
            <w:r>
              <w:rPr>
                <w:rFonts w:hint="default"/>
                <w:color w:val="000000" w:themeColor="text1"/>
                <w14:textFill>
                  <w14:solidFill>
                    <w14:schemeClr w14:val="tx1"/>
                  </w14:solidFill>
                </w14:textFill>
              </w:rPr>
            </w:r>
          </w:p>
          <w:p>
            <w:pPr>
              <w:pStyle w:val="1996"/>
              <w:keepNext w:val="false"/>
              <w:keepLines w:val="false"/>
              <w:numPr>
                <w:ilvl w:val="0"/>
                <w:numId w:val="129"/>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稳定轻烃项目号：</w:t>
            </w:r>
            <w:r>
              <w:rPr>
                <w:rFonts w:hint="eastAsia"/>
                <w:color w:val="000000" w:themeColor="text1"/>
                <w14:textFill>
                  <w14:solidFill>
                    <w14:schemeClr w14:val="tx1"/>
                  </w14:solidFill>
                </w14:textFill>
              </w:rPr>
              <w:t xml:space="preserve">340—稳定轻烃，341-硫含量，342-混合轻烃检测，343-油气田混合轻烃。</w:t>
            </w:r>
            <w:r>
              <w:rPr>
                <w:rFonts w:hint="default"/>
                <w:color w:val="000000" w:themeColor="text1"/>
                <w14:textFill>
                  <w14:solidFill>
                    <w14:schemeClr w14:val="tx1"/>
                  </w14:solidFill>
                </w14:textFill>
              </w:rPr>
            </w:r>
          </w:p>
          <w:p>
            <w:pPr>
              <w:pStyle w:val="1996"/>
              <w:keepNext w:val="false"/>
              <w:keepLines w:val="false"/>
              <w:numPr>
                <w:ilvl w:val="0"/>
                <w:numId w:val="130"/>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原油常规项目号：</w:t>
            </w:r>
            <w:r>
              <w:rPr>
                <w:rFonts w:hint="eastAsia"/>
                <w:color w:val="000000" w:themeColor="text1"/>
                <w14:textFill>
                  <w14:solidFill>
                    <w14:schemeClr w14:val="tx1"/>
                  </w14:solidFill>
                </w14:textFill>
              </w:rPr>
              <w:t xml:space="preserve">350-原油分析，352-原油族组分，353原油粘温曲线，354-原油硫化氢，355-原油析蜡点，356-原油馏分，357-原油全烃组分分析。</w:t>
            </w:r>
            <w:r>
              <w:rPr>
                <w:rFonts w:hint="default"/>
                <w:color w:val="000000" w:themeColor="text1"/>
                <w14:textFill>
                  <w14:solidFill>
                    <w14:schemeClr w14:val="tx1"/>
                  </w14:solidFill>
                </w14:textFill>
              </w:rPr>
            </w:r>
          </w:p>
          <w:p>
            <w:pPr>
              <w:pStyle w:val="1996"/>
              <w:keepNext w:val="false"/>
              <w:keepLines w:val="false"/>
              <w:numPr>
                <w:ilvl w:val="0"/>
                <w:numId w:val="131"/>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油田水项目号：360-油田水分析。</w:t>
            </w:r>
            <w:r>
              <w:rPr>
                <w:rFonts w:hint="default"/>
                <w:color w:val="000000" w:themeColor="text1"/>
                <w14:textFill>
                  <w14:solidFill>
                    <w14:schemeClr w14:val="tx1"/>
                  </w14:solidFill>
                </w14:textFill>
              </w:rPr>
            </w:r>
          </w:p>
          <w:p>
            <w:pPr>
              <w:pStyle w:val="1996"/>
              <w:keepNext w:val="false"/>
              <w:keepLines w:val="false"/>
              <w:numPr>
                <w:ilvl w:val="0"/>
                <w:numId w:val="132"/>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油田化学剂项目号：</w:t>
            </w:r>
            <w:r>
              <w:rPr>
                <w:rFonts w:hint="eastAsia"/>
                <w:color w:val="000000" w:themeColor="text1"/>
                <w14:textFill>
                  <w14:solidFill>
                    <w14:schemeClr w14:val="tx1"/>
                  </w14:solidFill>
                </w14:textFill>
              </w:rPr>
              <w:t xml:space="preserve">391-助剂有机氯，392-工业硫磺，385-化学药剂评价，393-工业热水锅炉水质，394-工业蒸汽锅炉水质，395-液体工业硫磺。</w:t>
            </w:r>
            <w:r>
              <w:rPr>
                <w:rFonts w:hint="default"/>
                <w:color w:val="000000" w:themeColor="text1"/>
                <w14:textFill>
                  <w14:solidFill>
                    <w14:schemeClr w14:val="tx1"/>
                  </w14:solidFill>
                </w14:textFill>
              </w:rPr>
            </w:r>
          </w:p>
          <w:p>
            <w:pPr>
              <w:pStyle w:val="1996"/>
              <w:keepNext w:val="false"/>
              <w:keepLines w:val="false"/>
              <w:numPr>
                <w:ilvl w:val="0"/>
                <w:numId w:val="13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润滑油室项目编号：</w:t>
            </w:r>
            <w:r>
              <w:rPr>
                <w:rFonts w:hint="eastAsia"/>
                <w:color w:val="000000" w:themeColor="text1"/>
                <w14:textFill>
                  <w14:solidFill>
                    <w14:schemeClr w14:val="tx1"/>
                  </w14:solidFill>
                </w14:textFill>
              </w:rPr>
              <w:t xml:space="preserve">项目号：370-柴油机油，371-工业闭齿轮油，372-涡轮机油，373-液压油，374-有机热载体，375-变压器油检测报告（再用油），376-变压器油溶解气体含量（再用油），377-汽油机油，379-冷冻机油，380-油膜轴承油，381-10号航空液压油，382-变压器油检测报告（新油），383-变压器溶解气体含量（新油），384-冷却液，386-空气压缩机油</w:t>
            </w:r>
            <w:r>
              <w:rPr>
                <w:rFonts w:hint="default"/>
                <w:color w:val="000000" w:themeColor="text1"/>
                <w14:textFill>
                  <w14:solidFill>
                    <w14:schemeClr w14:val="tx1"/>
                  </w14:solidFill>
                </w14:textFill>
              </w:rPr>
              <w:t xml:space="preserve">。</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E类文件分类及编号说明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E类文件：原始记录编号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原始记录包括：原始记录封面、委托书、任务通知单、采样记录（送样单）、样品流转单、检测前后检查记录、检测项目原始记录等。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原始记录报告编号：NO.E+XXXX（年代号）+XXX（项目编号）+XXXX（序列号）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项目编号、年代号、序列号说明同4.2.5。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其他文件分类及编号说明                        </w:t>
      </w:r>
      <w:r>
        <w:rPr>
          <w:color w:val="000000" w:themeColor="text1"/>
          <w14:textFill>
            <w14:solidFill>
              <w14:schemeClr w14:val="tx1"/>
            </w14:solidFill>
          </w14:textFill>
        </w:rPr>
      </w:r>
    </w:p>
    <w:p>
      <w:pPr>
        <w:pStyle w:val="1996"/>
        <w:numPr>
          <w:ilvl w:val="0"/>
          <w:numId w:val="13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单项程序文件控制编号：质量检测站拼音缩写/程序文件拼音缩写+顺序号组成，如：ZJZ/CX-10。</w:t>
      </w:r>
      <w:r>
        <w:rPr>
          <w:color w:val="000000" w:themeColor="text1"/>
          <w14:textFill>
            <w14:solidFill>
              <w14:schemeClr w14:val="tx1"/>
            </w14:solidFill>
          </w14:textFill>
        </w:rPr>
      </w:r>
    </w:p>
    <w:p>
      <w:pPr>
        <w:pStyle w:val="1996"/>
        <w:numPr>
          <w:ilvl w:val="0"/>
          <w:numId w:val="13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单项质量记录控制编号：质量检测站拼音缩写/记录拼音缩写+程序文件顺序号+记录顺序号组成，如：ZJZ/JL 05-1。</w:t>
      </w:r>
      <w:r>
        <w:rPr>
          <w:color w:val="000000" w:themeColor="text1"/>
          <w14:textFill>
            <w14:solidFill>
              <w14:schemeClr w14:val="tx1"/>
            </w14:solidFill>
          </w14:textFill>
        </w:rPr>
      </w:r>
    </w:p>
    <w:p>
      <w:pPr>
        <w:pStyle w:val="1996"/>
        <w:numPr>
          <w:ilvl w:val="0"/>
          <w:numId w:val="13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单项操作规程/实施细则/作业指导书控制编号：质量检测站拼音缩写/细则拼音缩写+顺序号组成，如：ZJZ/SSXZ-01。</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文件的编制、审核和修改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质量手册、程序文件、实施细则、记录表格等文件由质量负责人组织实验室室主任编写，由资料管理员统一编号。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质量负责人负责组织质量体系文件审核。质量负责人负责质量记录的审批。技术负责人负责技术文件的审批。最高管理者负责质量手册、程序文件的审批。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检验检测人员、室主任根据实际运行情况，提出修改建议填写</w:t>
      </w:r>
      <w:r>
        <w:fldChar w:fldCharType="begin"/>
      </w:r>
      <w:r>
        <w:instrText xml:space="preserve"> HYPERLINK "https://pqsuhhq8yu6.feishu.cn/wiki/HkQiwtizCiEJ9lkPZnZcq2IinPc" \h </w:instrText>
      </w:r>
      <w:r>
        <w:fldChar w:fldCharType="separate"/>
      </w:r>
      <w:r>
        <w:rPr>
          <w:color w:val="000000" w:themeColor="text1"/>
          <w14:textFill>
            <w14:solidFill>
              <w14:schemeClr w14:val="tx1"/>
            </w14:solidFill>
          </w14:textFill>
        </w:rPr>
        <w:t xml:space="preserve">ZJZ/JL10-3文件修改申请表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，由质量负责人组织实验室室主任及相关人员论证，批准后实施。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文件修改后，由质量负责人填写对应文件的修改履历表，并在修改的15个工作日内组织相关人员宣贯。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文件的接收、发放和借阅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综合管理室负责上级单位、评审机构及法律法规等文件的收发，当收到外来文件和发放内部文件时，填写</w:t>
      </w:r>
      <w:r>
        <w:fldChar w:fldCharType="begin"/>
      </w:r>
      <w:r>
        <w:instrText xml:space="preserve"> HYPERLINK "https://pqsuhhq8yu6.feishu.cn/wiki/U7YiwxkxCiuBoQkQAG2cS7Tvn0c" \h </w:instrText>
      </w:r>
      <w:r>
        <w:fldChar w:fldCharType="separate"/>
      </w:r>
      <w:r>
        <w:rPr>
          <w:color w:val="000000" w:themeColor="text1"/>
          <w14:textFill>
            <w14:solidFill>
              <w14:schemeClr w14:val="tx1"/>
            </w14:solidFill>
          </w14:textFill>
        </w:rPr>
        <w:t xml:space="preserve">ZJZ/JL10-1收文登记表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经过批准后的文件，由资料管理员加盖</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受控</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非受控</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印章后发放，填写</w:t>
      </w:r>
      <w:r>
        <w:fldChar w:fldCharType="begin"/>
      </w:r>
      <w:r>
        <w:instrText xml:space="preserve"> HYPERLINK "https://pqsuhhq8yu6.feishu.cn/wiki/L4uxwViaNi8wu8kw9TecxUGjnuf" \h </w:instrText>
      </w:r>
      <w:r>
        <w:fldChar w:fldCharType="separate"/>
      </w:r>
      <w:r>
        <w:rPr>
          <w:color w:val="000000" w:themeColor="text1"/>
          <w14:textFill>
            <w14:solidFill>
              <w14:schemeClr w14:val="tx1"/>
            </w14:solidFill>
          </w14:textFill>
        </w:rPr>
        <w:t xml:space="preserve">ZJZ/JL10-2质量体系文件发放台帐</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，保证有关人员使用有效版本的文件。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当需要借阅质量管理体系文件时，申请人填写</w:t>
      </w:r>
      <w:r>
        <w:fldChar w:fldCharType="begin"/>
      </w:r>
      <w:r>
        <w:instrText xml:space="preserve"> HYPERLINK "https://pqsuhhq8yu6.feishu.cn/wiki/RjWawp9aziyBghkAs2FcxHDjnlg" \h </w:instrText>
      </w:r>
      <w:r>
        <w:fldChar w:fldCharType="separate"/>
      </w:r>
      <w:r>
        <w:rPr>
          <w:color w:val="000000" w:themeColor="text1"/>
          <w14:textFill>
            <w14:solidFill>
              <w14:schemeClr w14:val="tx1"/>
            </w14:solidFill>
          </w14:textFill>
        </w:rPr>
        <w:t xml:space="preserve">ZJZ/JL10-5体系文件借阅登记表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，经质量负责人同意后，资料管理员办理。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借阅的受控文件不得涂改、外借或复制，确保文件的清晰、易于识别。</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4.4.5 当文件发生文改或换版时，借出的非受控文件版本不通知文改或换版。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4.4.6 文件和资料妥善保管、不丢失、不损坏、不泄密。体系文件存档数本纸质文件，电子文档上传网站方便职工随时学习和使用。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文件的换版与作废</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文件经多次更改或需大幅度修改时，应进行换版，原版文件作废，换发新版本。</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换版质量体系文件发布后，由资料管理员收回所有作废文件，填写</w:t>
      </w:r>
      <w:r>
        <w:fldChar w:fldCharType="begin"/>
      </w:r>
      <w:r>
        <w:instrText xml:space="preserve"> HYPERLINK "https://pqsuhhq8yu6.feishu.cn/wiki/R0NYwZHfLivc2LkmqadchBJTnbh" \h </w:instrText>
      </w:r>
      <w:r>
        <w:fldChar w:fldCharType="separate"/>
      </w:r>
      <w:r>
        <w:rPr>
          <w:color w:val="000000" w:themeColor="text1"/>
          <w14:textFill>
            <w14:solidFill>
              <w14:schemeClr w14:val="tx1"/>
            </w14:solidFill>
          </w14:textFill>
        </w:rPr>
        <w:t xml:space="preserve">ZJZ/JL10-4质量体系文件回收、销毁登记表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从所有发放和使用场所及时撤出失效和作废的文件，必要保留的作废文件加盖</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作废</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印章，确保防止误用。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作废的质量体系文件由资料管理员组织统一回收，经质量负责人审批后销毁，填写</w:t>
      </w:r>
      <w:r>
        <w:fldChar w:fldCharType="begin"/>
      </w:r>
      <w:r>
        <w:instrText xml:space="preserve"> HYPERLINK "https://pqsuhhq8yu6.feishu.cn/wiki/R0NYwZHfLivc2LkmqadchBJTnbh" \h </w:instrText>
      </w:r>
      <w:r>
        <w:fldChar w:fldCharType="separate"/>
      </w:r>
      <w:r>
        <w:rPr>
          <w:color w:val="000000" w:themeColor="text1"/>
          <w14:textFill>
            <w14:solidFill>
              <w14:schemeClr w14:val="tx1"/>
            </w14:solidFill>
          </w14:textFill>
        </w:rPr>
        <w:t xml:space="preserve">ZJZ/JL10-4质量体系文件回收、销毁登记表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。为积累知识而保存的作废文件，须加盖</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作废</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印章并隔离存放。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文件的查新和保持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本站体系文件中所引用的外部标准、记录未标注年代号的均为最新有效版本。资料管理员建立标准台账，填写</w:t>
      </w:r>
      <w:r>
        <w:fldChar w:fldCharType="begin"/>
      </w:r>
      <w:r>
        <w:instrText xml:space="preserve"> HYPERLINK "https://pqsuhhq8yu6.feishu.cn/wiki/WZmGwW8iMixFKgkxagJcAHK2nFc" \h </w:instrText>
      </w:r>
      <w:r>
        <w:fldChar w:fldCharType="separate"/>
      </w:r>
      <w:r>
        <w:rPr>
          <w:color w:val="000000" w:themeColor="text1"/>
          <w14:textFill>
            <w14:solidFill>
              <w14:schemeClr w14:val="tx1"/>
            </w14:solidFill>
          </w14:textFill>
        </w:rPr>
        <w:t xml:space="preserve">ZJZ/JL10-8检测标准台账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，质量负责人组织实验室室主任每季度进行查新一次，及时更换有效版本，填写</w:t>
      </w:r>
      <w:r>
        <w:fldChar w:fldCharType="begin"/>
      </w:r>
      <w:r>
        <w:instrText xml:space="preserve"> HYPERLINK "https://pqsuhhq8yu6.feishu.cn/wiki/AdvWwQe6eiEPxokKYSpcvLZhnIf" \h </w:instrText>
      </w:r>
      <w:r>
        <w:fldChar w:fldCharType="separate"/>
      </w:r>
      <w:r>
        <w:rPr>
          <w:color w:val="000000" w:themeColor="text1"/>
          <w14:textFill>
            <w14:solidFill>
              <w14:schemeClr w14:val="tx1"/>
            </w14:solidFill>
          </w14:textFill>
        </w:rPr>
        <w:t xml:space="preserve">ZJZ/JL10-6查新记录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4.6.2 受控文件必须定期审核。在每年的内审过程中，质量负责人组织相关人员对现有质量管理体系文件进行审核（文件审核一般由内审组组长审核），对质量管理体系运行的有效性、适用性和满足要求等方面的内容进行审查，填写</w:t>
      </w:r>
      <w:r>
        <w:fldChar w:fldCharType="begin"/>
      </w:r>
      <w:r>
        <w:instrText xml:space="preserve"> HYPERLINK "https://pqsuhhq8yu6.feishu.cn/wiki/SaA5wINMqiIqyikYehScUpCjngh" \h </w:instrText>
      </w:r>
      <w:r>
        <w:fldChar w:fldCharType="separate"/>
      </w:r>
      <w:r>
        <w:rPr>
          <w:color w:val="000000" w:themeColor="text1"/>
          <w14:textFill>
            <w14:solidFill>
              <w14:schemeClr w14:val="tx1"/>
            </w14:solidFill>
          </w14:textFill>
        </w:rPr>
        <w:t xml:space="preserve">ZJZ/JL10-7 文件审核计划/文件审核表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，该记录作为体系文件修订的依据。质量负责人将文件审核情况提交管理评审，由最高管理者做出修改或换版的决定。</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"https://pqsuhhq8yu6.feishu.cn/wiki/U7YiwxkxCiuBoQkQAG2cS7Tvn0c" \h </w:instrText>
      </w:r>
      <w:r>
        <w:fldChar w:fldCharType="separate"/>
      </w:r>
      <w:r>
        <w:rPr>
          <w:color w:val="000000" w:themeColor="text1"/>
          <w14:textFill>
            <w14:solidFill>
              <w14:schemeClr w14:val="tx1"/>
            </w14:solidFill>
          </w14:textFill>
        </w:rPr>
        <w:t xml:space="preserve">ZJZ/JL10-1收文登记表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"https://pqsuhhq8yu6.feishu.cn/wiki/L4uxwViaNi8wu8kw9TecxUGjnuf" \h </w:instrText>
      </w:r>
      <w:r>
        <w:fldChar w:fldCharType="separate"/>
      </w:r>
      <w:r>
        <w:rPr>
          <w:color w:val="000000" w:themeColor="text1"/>
          <w14:textFill>
            <w14:solidFill>
              <w14:schemeClr w14:val="tx1"/>
            </w14:solidFill>
          </w14:textFill>
        </w:rPr>
        <w:t xml:space="preserve">ZJZ/JL10-2质量体系文件发放台帐</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"https://pqsuhhq8yu6.feishu.cn/wiki/HkQiwtizCiEJ9lkPZnZcq2IinPc" \h </w:instrText>
      </w:r>
      <w:r>
        <w:fldChar w:fldCharType="separate"/>
      </w:r>
      <w:r>
        <w:rPr>
          <w:color w:val="000000" w:themeColor="text1"/>
          <w14:textFill>
            <w14:solidFill>
              <w14:schemeClr w14:val="tx1"/>
            </w14:solidFill>
          </w14:textFill>
        </w:rPr>
        <w:t xml:space="preserve">ZJZ/JL10-3文件修改申请表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"https://pqsuhhq8yu6.feishu.cn/wiki/R0NYwZHfLivc2LkmqadchBJTnbh" \h </w:instrText>
      </w:r>
      <w:r>
        <w:fldChar w:fldCharType="separate"/>
      </w:r>
      <w:r>
        <w:rPr>
          <w:color w:val="000000" w:themeColor="text1"/>
          <w14:textFill>
            <w14:solidFill>
              <w14:schemeClr w14:val="tx1"/>
            </w14:solidFill>
          </w14:textFill>
        </w:rPr>
        <w:t xml:space="preserve">ZJZ/JL10-4质量体系文件回收、销毁登记表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"https://pqsuhhq8yu6.feishu.cn/wiki/RjWawp9aziyBghkAs2FcxHDjnlg" \h </w:instrText>
      </w:r>
      <w:r>
        <w:fldChar w:fldCharType="separate"/>
      </w:r>
      <w:r>
        <w:rPr>
          <w:color w:val="000000" w:themeColor="text1"/>
          <w14:textFill>
            <w14:solidFill>
              <w14:schemeClr w14:val="tx1"/>
            </w14:solidFill>
          </w14:textFill>
        </w:rPr>
        <w:t xml:space="preserve">ZJZ/JL10-5体系文件借阅登记表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"https://pqsuhhq8yu6.feishu.cn/wiki/AdvWwQe6eiEPxokKYSpcvLZhnIf" \h </w:instrText>
      </w:r>
      <w:r>
        <w:fldChar w:fldCharType="separate"/>
      </w:r>
      <w:r>
        <w:rPr>
          <w:color w:val="000000" w:themeColor="text1"/>
          <w14:textFill>
            <w14:solidFill>
              <w14:schemeClr w14:val="tx1"/>
            </w14:solidFill>
          </w14:textFill>
        </w:rPr>
        <w:t xml:space="preserve">ZJZ/JL10-6查新记录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"https://pqsuhhq8yu6.feishu.cn/wiki/SaA5wINMqiIqyikYehScUpCjngh" \h </w:instrText>
      </w:r>
      <w:r>
        <w:fldChar w:fldCharType="separate"/>
      </w:r>
      <w:r>
        <w:rPr>
          <w:color w:val="000000" w:themeColor="text1"/>
          <w14:textFill>
            <w14:solidFill>
              <w14:schemeClr w14:val="tx1"/>
            </w14:solidFill>
          </w14:textFill>
        </w:rPr>
        <w:t xml:space="preserve">ZJZ/JL10-7 文件审核计划/文件审核表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"https://pqsuhhq8yu6.feishu.cn/wiki/WZmGwW8iMixFKgkxagJcAHK2nFc" \h </w:instrText>
      </w:r>
      <w:r>
        <w:fldChar w:fldCharType="separate"/>
      </w:r>
      <w:r>
        <w:rPr>
          <w:color w:val="000000" w:themeColor="text1"/>
          <w14:textFill>
            <w14:solidFill>
              <w14:schemeClr w14:val="tx1"/>
            </w14:solidFill>
          </w14:textFill>
        </w:rPr>
        <w:t xml:space="preserve">ZJZ/JL10-8检测标准台账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1" w:name="_Toc15341"/>
      <w:r>
        <w:rPr>
          <w:color w:val="000000" w:themeColor="text1"/>
          <w14:textFill>
            <w14:solidFill>
              <w14:schemeClr w14:val="tx1"/>
            </w14:solidFill>
          </w14:textFill>
        </w:rPr>
        <w:t xml:space="preserve">ZJZ/CX-11 客户要求、标书和合同评审程序</w:t>
      </w:r>
      <w:bookmarkEnd w:id="31"/>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为满足客户的要求，与客户充分沟通、真正了解客户需求，对自身的技术能力是否能够满足客户的要求进行评审，特制定本程序。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本程序适用于对客户检验检测工作的标书和合同的评审及与客户的沟通。</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样品管理员：负责确认一般的、常规性的或非常明确的及工作量工期能满足客户需要的委托合同或标书的评审。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实验室室主任：负责参加特殊的、需要论证的委托合同或标书的评审；参加分包检测项目的评审。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技术负责人：负责组织特殊的、需要论证的委托合同或标书的评审；负责组织分包检测项目的评审。</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合同评审内容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样品管理人员首先确认客户委托的检测项目是否在本站检验检测能力范围之内，当无法确认项目是否在本站检测能力范围内时，应及时与相关实验室室主任进行沟通确认，必要时联系技术负责人进行确认。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对于一般的、常规性的或非常明确的委托样品（长期固定的内部客户委托样品），样品管理人员根据项目的检测流程、方法标准和样品数量确认工作量的工期可以满足客户需求，检查送检样品数量、包装、属性和质量是否满足检测要求，双方共同填写</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ZJZ/JL 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，双方签字确认，作为简易委托合同评审。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对于特殊的委托样品或检测的法律后果需要论证时，作为特殊委托合同或标书进行评审。由技术负责人组织相关实验室室主任、技术人员、检验检测人员进行评审，填写</w:t>
      </w:r>
      <w:r>
        <w:fldChar w:fldCharType="begin"/>
      </w:r>
      <w:r>
        <w:instrText xml:space="preserve"> HYPERLINK "https://pqsuhhq8yu6.feishu.cn/wiki/W5gCw8PmNiPIKVkmENScAyQlnAg" \h </w:instrText>
      </w:r>
      <w:r>
        <w:fldChar w:fldCharType="separate"/>
      </w:r>
      <w:r>
        <w:rPr>
          <w:color w:val="000000" w:themeColor="text1"/>
          <w14:textFill>
            <w14:solidFill>
              <w14:schemeClr w14:val="tx1"/>
            </w14:solidFill>
          </w14:textFill>
        </w:rPr>
        <w:t xml:space="preserve">ZJZ/JL 11-2 特殊合同委托书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，并与客户进行有效地沟通，双方达成一致意见后，由样品管理员与客户双方填写</w:t>
      </w:r>
      <w:r>
        <w:fldChar w:fldCharType="begin"/>
      </w:r>
      <w:r>
        <w:instrText xml:space="preserve"> HYPERLINK "https://pqsuhhq8yu6.feishu.cn/wiki/W5gCw8PmNiPIKVkmENScAyQlnAg" \h </w:instrText>
      </w:r>
      <w:r>
        <w:fldChar w:fldCharType="separate"/>
      </w:r>
      <w:r>
        <w:rPr>
          <w:color w:val="000000" w:themeColor="text1"/>
          <w14:textFill>
            <w14:solidFill>
              <w14:schemeClr w14:val="tx1"/>
            </w14:solidFill>
          </w14:textFill>
        </w:rPr>
        <w:t xml:space="preserve">ZJZ/JL 11-2 特殊合同委托书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，并签字确认。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对分包出去的检测项目由技术负责人组织相关室主任、技术人员对分包方的资质、能力进行评审，保留分包方资质、能力资料的复印件，执行</w:t>
      </w:r>
      <w:r>
        <w:fldChar w:fldCharType="begin"/>
      </w:r>
      <w:r>
        <w:instrText xml:space="preserve"> HYPERLINK "https://pqsuhhq8yu6.feishu.cn/wiki/Bt6Pwn8JciYp4BkslEdcFS4snXe" \h </w:instrText>
      </w:r>
      <w:r>
        <w:fldChar w:fldCharType="separate"/>
      </w:r>
      <w:r>
        <w:rPr>
          <w:color w:val="000000" w:themeColor="text1"/>
          <w14:textFill>
            <w14:solidFill>
              <w14:schemeClr w14:val="tx1"/>
            </w14:solidFill>
          </w14:textFill>
        </w:rPr>
        <w:t xml:space="preserve">ZJZ/CX-12 检测检验分包管理程序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，填写</w:t>
      </w:r>
      <w:r>
        <w:fldChar w:fldCharType="begin"/>
      </w:r>
      <w:r>
        <w:instrText xml:space="preserve"> HYPERLINK "https://pqsuhhq8yu6.feishu.cn/wiki/B9xdwUqwti1mIrkvJKAcy4s5nXc" \h </w:instrText>
      </w:r>
      <w:r>
        <w:fldChar w:fldCharType="separate"/>
      </w:r>
      <w:r>
        <w:rPr>
          <w:color w:val="000000" w:themeColor="text1"/>
          <w14:textFill>
            <w14:solidFill>
              <w14:schemeClr w14:val="tx1"/>
            </w14:solidFill>
          </w14:textFill>
        </w:rPr>
        <w:t xml:space="preserve">ZJZ/JL 12-1 检测分包方评审表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以保证分包检测项目结果的可靠。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客户对委托样品的检测标准有要求时，应在</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 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中说明，客户签字确认，检测标准应在本实验室资质认定的检测能力范围之内。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当客户要求出具CMA资质的检验报告中包含对标准或规范的符合性声明（如合格或不合格、通过/未通过、在允许限内/超出允许限）时，实验室应检查所对应产品的判定标准是否在认证范围内，当客户要求出具非CMA资质的报告，若标准或规范不包含决定规则内容，实验室选择的决定规则应与客户沟通并得到同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 客户委托的要求与本站检验检测的任何差异，应在开展实验检验检测活动前协商解决。每项合同应被实验室和客户双方接受。客户要求的偏离不应影响本站的诚信或结果的有效性。检验检测工作的偏离执行</w:t>
      </w:r>
      <w:r>
        <w:fldChar w:fldCharType="begin"/>
      </w:r>
      <w:r>
        <w:instrText xml:space="preserve"> HYPERLINK "https://pqsuhhq8yu6.feishu.cn/wiki/Lw5VwlPNdik6MKkxrkkcpAfEnTf" \h </w:instrText>
      </w:r>
      <w:r>
        <w:fldChar w:fldCharType="separate"/>
      </w:r>
      <w:r>
        <w:rPr>
          <w:color w:val="000000" w:themeColor="text1"/>
          <w14:textFill>
            <w14:solidFill>
              <w14:schemeClr w14:val="tx1"/>
            </w14:solidFill>
          </w14:textFill>
        </w:rPr>
        <w:t xml:space="preserve">ZJZ/CX-22 检测方法偏离控制程序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 在合同执行期间，当客户的要求、进度、工作任务或工作结果发生变化时，技术负责人必须与客户进行充分的沟通，如果需要修改合同，应重新进行评审，填写</w:t>
      </w:r>
      <w:r>
        <w:fldChar w:fldCharType="begin"/>
      </w:r>
      <w:r>
        <w:instrText xml:space="preserve"> HYPERLINK "https://pqsuhhq8yu6.feishu.cn/wiki/W5gCw8PmNiPIKVkmENScAyQlnAg" \h </w:instrText>
      </w:r>
      <w:r>
        <w:fldChar w:fldCharType="separate"/>
      </w:r>
      <w:r>
        <w:rPr>
          <w:color w:val="000000" w:themeColor="text1"/>
          <w14:textFill>
            <w14:solidFill>
              <w14:schemeClr w14:val="tx1"/>
            </w14:solidFill>
          </w14:textFill>
        </w:rPr>
        <w:t xml:space="preserve">ZJZ/JL 11-2 特殊合同委托书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，并将所有修改内容通知客户、</w:t>
      </w:r>
      <w:r>
        <w:rPr>
          <w:rFonts w:hint="eastAsia"/>
          <w:color w:val="000000" w:themeColor="text1"/>
          <w14:textFill>
            <w14:solidFill>
              <w14:schemeClr w14:val="tx1"/>
            </w14:solidFill>
          </w14:textFill>
        </w:rPr>
        <w:t xml:space="preserve">技术负责人</w:t>
      </w:r>
      <w:r>
        <w:rPr>
          <w:color w:val="000000" w:themeColor="text1"/>
          <w14:textFill>
            <w14:solidFill>
              <w14:schemeClr w14:val="tx1"/>
            </w14:solidFill>
          </w14:textFill>
        </w:rPr>
        <w:t xml:space="preserve">、相关岗位人员及样品管理员。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 委托样品的保管和处置执行</w:t>
      </w:r>
      <w:r>
        <w:fldChar w:fldCharType="begin"/>
      </w:r>
      <w:r>
        <w:instrText xml:space="preserve"> HYPERLINK "https://pqsuhhq8yu6.feishu.cn/wiki/EwoTwFjyUikY5nk3rgac0xqGnkc" \h </w:instrText>
      </w:r>
      <w:r>
        <w:fldChar w:fldCharType="separate"/>
      </w:r>
      <w:r>
        <w:rPr>
          <w:color w:val="000000" w:themeColor="text1"/>
          <w14:textFill>
            <w14:solidFill>
              <w14:schemeClr w14:val="tx1"/>
            </w14:solidFill>
          </w14:textFill>
        </w:rPr>
        <w:t xml:space="preserve">ZJZ/CX-26 样品管理程序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"https://pqsuhhq8yu6.feishu.cn/wiki/EwoTwFjyUikY5nk3rgac0xqGnkc" \h </w:instrText>
      </w:r>
      <w:r>
        <w:fldChar w:fldCharType="separate"/>
      </w:r>
      <w:r>
        <w:rPr>
          <w:color w:val="000000" w:themeColor="text1"/>
          <w14:textFill>
            <w14:solidFill>
              <w14:schemeClr w14:val="tx1"/>
            </w14:solidFill>
          </w14:textFill>
        </w:rPr>
        <w:t xml:space="preserve">ZJZ/CX-26 样品管理程序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"https://pqsuhhq8yu6.feishu.cn/wiki/Lw5VwlPNdik6MKkxrkkcpAfEnTf" \h </w:instrText>
      </w:r>
      <w:r>
        <w:fldChar w:fldCharType="separate"/>
      </w:r>
      <w:r>
        <w:rPr>
          <w:color w:val="000000" w:themeColor="text1"/>
          <w14:textFill>
            <w14:solidFill>
              <w14:schemeClr w14:val="tx1"/>
            </w14:solidFill>
          </w14:textFill>
        </w:rPr>
        <w:t xml:space="preserve">ZJZ/CX-22 检测方法偏离控制程序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 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"https://pqsuhhq8yu6.feishu.cn/wiki/W5gCw8PmNiPIKVkmENScAyQlnAg" \h </w:instrText>
      </w:r>
      <w:r>
        <w:fldChar w:fldCharType="separate"/>
      </w:r>
      <w:r>
        <w:rPr>
          <w:color w:val="000000" w:themeColor="text1"/>
          <w14:textFill>
            <w14:solidFill>
              <w14:schemeClr w14:val="tx1"/>
            </w14:solidFill>
          </w14:textFill>
        </w:rPr>
        <w:t xml:space="preserve">ZJZ/JL 11-2 特殊合同委托书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"https://pqsuhhq8yu6.feishu.cn/wiki/B9xdwUqwti1mIrkvJKAcy4s5nXc" \h </w:instrText>
      </w:r>
      <w:r>
        <w:fldChar w:fldCharType="separate"/>
      </w:r>
      <w:r>
        <w:rPr>
          <w:color w:val="000000" w:themeColor="text1"/>
          <w14:textFill>
            <w14:solidFill>
              <w14:schemeClr w14:val="tx1"/>
            </w14:solidFill>
          </w14:textFill>
        </w:rPr>
        <w:t xml:space="preserve">ZJZ/JL 12-1 检测分包方评审表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2" w:name="_Toc23208"/>
      <w:r>
        <w:rPr>
          <w:color w:val="000000" w:themeColor="text1"/>
          <w14:textFill>
            <w14:solidFill>
              <w14:schemeClr w14:val="tx1"/>
            </w14:solidFill>
          </w14:textFill>
        </w:rPr>
        <w:t xml:space="preserve">ZJZ/CX-12 检测检验分包程序</w:t>
      </w:r>
      <w:bookmarkEnd w:id="32"/>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为了对客户负责，对检测工作的分包过程进行有效管理，对承包方的资质及承担任务的能力进行评定，特制定本程序。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本程序适用于检测工作的分包管理及分包方的检测工作过程的评定和控制。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实验室室主任：负责分包工作的申请，负责组织与承包商合同的签订，负责对分包结果的验收。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技术负责人：负责分包工作的确认、分包方技术能力的评价及分包方的选定；负责分包工作的审批。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材料管理员：负责保存承包方的名录和相关资料。</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分包包含以下形式：</w:t>
      </w:r>
      <w:r>
        <w:rPr>
          <w:color w:val="000000" w:themeColor="text1"/>
          <w14:textFill>
            <w14:solidFill>
              <w14:schemeClr w14:val="tx1"/>
            </w14:solidFill>
          </w14:textFill>
        </w:rPr>
      </w:r>
    </w:p>
    <w:p>
      <w:pPr>
        <w:pStyle w:val="1996"/>
        <w:numPr>
          <w:ilvl w:val="0"/>
          <w:numId w:val="13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有能力分包：具备检验检测能力，但因工作量大、关键人员暂缺、设备设施故障、环境状况变化等原因，暂时不满足检验检测条件而进行的分包。</w:t>
      </w:r>
      <w:r>
        <w:rPr>
          <w:color w:val="000000" w:themeColor="text1"/>
          <w14:textFill>
            <w14:solidFill>
              <w14:schemeClr w14:val="tx1"/>
            </w14:solidFill>
          </w14:textFill>
        </w:rPr>
      </w:r>
    </w:p>
    <w:p>
      <w:pPr>
        <w:pStyle w:val="1996"/>
        <w:numPr>
          <w:ilvl w:val="0"/>
          <w:numId w:val="13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无能力分包：不具备相应检验检测能力，如设备使用频次低、价格昂贵的大型设备和特种项目等。</w:t>
      </w:r>
      <w:r>
        <w:rPr>
          <w:color w:val="000000" w:themeColor="text1"/>
          <w14:textFill>
            <w14:solidFill>
              <w14:schemeClr w14:val="tx1"/>
            </w14:solidFill>
          </w14:textFill>
        </w:rPr>
      </w:r>
    </w:p>
    <w:p>
      <w:pPr>
        <w:pStyle w:val="1996"/>
        <w:numPr>
          <w:ilvl w:val="0"/>
          <w:numId w:val="13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其他原因，如客户要求等。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各实验室室主任根据本室或客户的需要，提出需分包的工作，分包量原则不超过委托合同量的30%，报技术负责人组织评审，技术负责人负责组织本站有关人员对承包方进行选定并评审，承包方应为已取得检验检测机构资质认定并有能力完成分包项目的检验检测机构，填写</w:t>
      </w:r>
      <w:r>
        <w:fldChar w:fldCharType="begin"/>
      </w:r>
      <w:r>
        <w:instrText xml:space="preserve"> HYPERLINK "https://pqsuhhq8yu6.feishu.cn/wiki/B9xdwUqwti1mIrkvJKAcy4s5nXc" \h </w:instrText>
      </w:r>
      <w:r>
        <w:fldChar w:fldCharType="separate"/>
      </w:r>
      <w:r>
        <w:rPr>
          <w:color w:val="000000" w:themeColor="text1"/>
          <w14:textFill>
            <w14:solidFill>
              <w14:schemeClr w14:val="tx1"/>
            </w14:solidFill>
          </w14:textFill>
        </w:rPr>
        <w:t xml:space="preserve">ZJZ/JL12-1检测分包方评审表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。评审内容包括以下方面：</w:t>
      </w:r>
      <w:r>
        <w:rPr>
          <w:color w:val="000000" w:themeColor="text1"/>
          <w14:textFill>
            <w14:solidFill>
              <w14:schemeClr w14:val="tx1"/>
            </w14:solidFill>
          </w14:textFill>
        </w:rPr>
      </w:r>
    </w:p>
    <w:p>
      <w:pPr>
        <w:pStyle w:val="1996"/>
        <w:numPr>
          <w:ilvl w:val="0"/>
          <w:numId w:val="14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分包实验室的资质；</w:t>
      </w:r>
      <w:r>
        <w:rPr>
          <w:color w:val="000000" w:themeColor="text1"/>
          <w14:textFill>
            <w14:solidFill>
              <w14:schemeClr w14:val="tx1"/>
            </w14:solidFill>
          </w14:textFill>
        </w:rPr>
      </w:r>
    </w:p>
    <w:p>
      <w:pPr>
        <w:pStyle w:val="1996"/>
        <w:numPr>
          <w:ilvl w:val="0"/>
          <w:numId w:val="14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分包实验室的仪器设备能力；</w:t>
      </w:r>
      <w:r>
        <w:rPr>
          <w:color w:val="000000" w:themeColor="text1"/>
          <w14:textFill>
            <w14:solidFill>
              <w14:schemeClr w14:val="tx1"/>
            </w14:solidFill>
          </w14:textFill>
        </w:rPr>
      </w:r>
    </w:p>
    <w:p>
      <w:pPr>
        <w:pStyle w:val="1996"/>
        <w:numPr>
          <w:ilvl w:val="0"/>
          <w:numId w:val="14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环境条件；</w:t>
      </w:r>
      <w:r>
        <w:rPr>
          <w:color w:val="000000" w:themeColor="text1"/>
          <w14:textFill>
            <w14:solidFill>
              <w14:schemeClr w14:val="tx1"/>
            </w14:solidFill>
          </w14:textFill>
        </w:rPr>
      </w:r>
    </w:p>
    <w:p>
      <w:pPr>
        <w:pStyle w:val="1996"/>
        <w:numPr>
          <w:ilvl w:val="0"/>
          <w:numId w:val="14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人员素质；</w:t>
      </w:r>
      <w:r>
        <w:rPr>
          <w:color w:val="000000" w:themeColor="text1"/>
          <w14:textFill>
            <w14:solidFill>
              <w14:schemeClr w14:val="tx1"/>
            </w14:solidFill>
          </w14:textFill>
        </w:rPr>
      </w:r>
    </w:p>
    <w:p>
      <w:pPr>
        <w:pStyle w:val="1996"/>
        <w:numPr>
          <w:ilvl w:val="0"/>
          <w:numId w:val="14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质量管理体系；</w:t>
      </w:r>
      <w:r>
        <w:rPr>
          <w:color w:val="000000" w:themeColor="text1"/>
          <w14:textFill>
            <w14:solidFill>
              <w14:schemeClr w14:val="tx1"/>
            </w14:solidFill>
          </w14:textFill>
        </w:rPr>
      </w:r>
    </w:p>
    <w:p>
      <w:pPr>
        <w:pStyle w:val="1996"/>
        <w:numPr>
          <w:ilvl w:val="0"/>
          <w:numId w:val="14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检验检测能力的验证。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本站不得将法律法规、技术标准等文件禁止分包的项目实施分包。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各实验室室主任根据评审结果，将拟分包的项目和实验室以书面形式及时通知客户，在得到客户的准许后才可发包。安排分包前，各实验室室主任应与客户交流沟通，将客户提出的要求传达给承包方。在客户同意分包的前提下，填写</w:t>
      </w:r>
      <w:r>
        <w:fldChar w:fldCharType="begin"/>
      </w:r>
      <w:r>
        <w:instrText xml:space="preserve"> HYPERLINK "https://pqsuhhq8yu6.feishu.cn/wiki/MdkBwTtQCicsPIkpLd8c3wpcnOP" \h </w:instrText>
      </w:r>
      <w:r>
        <w:fldChar w:fldCharType="separate"/>
      </w:r>
      <w:r>
        <w:rPr>
          <w:color w:val="000000" w:themeColor="text1"/>
          <w14:textFill>
            <w14:solidFill>
              <w14:schemeClr w14:val="tx1"/>
            </w14:solidFill>
          </w14:textFill>
        </w:rPr>
        <w:t xml:space="preserve">ZJZ/JL 12-2 外送服务审批表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，经技术负责人批准后实施。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出具检验检测报告时，须将分包项目予以区分。</w:t>
      </w:r>
      <w:r>
        <w:rPr>
          <w:color w:val="000000" w:themeColor="text1"/>
          <w14:textFill>
            <w14:solidFill>
              <w14:schemeClr w14:val="tx1"/>
            </w14:solidFill>
          </w14:textFill>
        </w:rPr>
      </w:r>
    </w:p>
    <w:p>
      <w:pPr>
        <w:pStyle w:val="1996"/>
        <w:numPr>
          <w:ilvl w:val="0"/>
          <w:numId w:val="146"/>
        </w:numPr>
        <w:pBdr/>
        <w:spacing/>
        <w:ind/>
        <w:rPr>
          <w:color w:val="000000" w:themeColor="text1"/>
          <w:highlight w:val="yellow"/>
          <w14:textFill>
            <w14:solidFill>
              <w14:schemeClr w14:val="tx1"/>
            </w14:solidFill>
          </w14:textFill>
        </w:rPr>
      </w:pPr>
      <w:r>
        <w:rPr>
          <w:color w:val="000000" w:themeColor="text1"/>
          <w14:textFill>
            <w14:solidFill>
              <w14:schemeClr w14:val="tx1"/>
            </w14:solidFill>
          </w14:textFill>
        </w:rPr>
        <w:t xml:space="preserve">有能力分包时，可出具包含承包方结果的检验检测报告，其报告中应明确分包项目，并注明承包方的名称和资质认定许可编号，</w:t>
      </w:r>
      <w:r>
        <w:rPr>
          <w:color w:val="000000" w:themeColor="text1"/>
          <w:highlight w:val="yellow"/>
          <w14:textFill>
            <w14:solidFill>
              <w14:schemeClr w14:val="tx1"/>
            </w14:solidFill>
          </w14:textFill>
        </w:rPr>
        <w:t xml:space="preserve">并将分包方提供的数据记录存档。</w:t>
      </w:r>
      <w:r>
        <w:rPr>
          <w:color w:val="000000" w:themeColor="text1"/>
          <w:highlight w:val="yellow"/>
          <w14:textFill>
            <w14:solidFill>
              <w14:schemeClr w14:val="tx1"/>
            </w14:solidFill>
          </w14:textFill>
        </w:rPr>
      </w:r>
    </w:p>
    <w:p>
      <w:pPr>
        <w:pStyle w:val="1996"/>
        <w:numPr>
          <w:ilvl w:val="0"/>
          <w:numId w:val="14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无能力分包时，将分包给承包方的检验检测数据、结果纳入自身的检验检测报告，在其报告中应明确标注分包项目，且注明自身无相应技术能力，并注明承包方的名称和资质认定许可编号，并将分包方提供的数据记录存档。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各实验室室主任对承包方的工作质量按照质量体系的要求进行监督，必要时可在内审时一并进行。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 各实验室室主任组织对分包结果的验收，填写</w:t>
      </w:r>
      <w:r>
        <w:fldChar w:fldCharType="begin"/>
      </w:r>
      <w:r>
        <w:instrText xml:space="preserve"> HYPERLINK "https://pqsuhhq8yu6.feishu.cn/wiki/WOBLw7aA7iyEEGkTfabcJq1znJf" \h </w:instrText>
      </w:r>
      <w:r>
        <w:fldChar w:fldCharType="separate"/>
      </w:r>
      <w:r>
        <w:rPr>
          <w:color w:val="000000" w:themeColor="text1"/>
          <w:highlight w:val="yellow"/>
          <w14:textFill>
            <w14:solidFill>
              <w14:schemeClr w14:val="tx1"/>
            </w14:solidFill>
          </w14:textFill>
        </w:rPr>
        <w:t xml:space="preserve">ZJZ/JL 12-3 分包结果验收表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t xml:space="preserve">。如发现承包方提供的检测质量不合格，应令其返工，如延误期限，根据合同中的有关条款追究责任。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 客户有权对承包方的检验检测质量进行验证。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 实验室室主任负责组织与分包方签订检验/检测分包合同，合同的签订执行西北油田分公司合同管理实施细则，资料管理员负责保存承包方的名录和相关合同的存档。</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"https://pqsuhhq8yu6.feishu.cn/wiki/M1jzw9QrjiBMsqk9EBUcqdLHnae" \h </w:instrText>
      </w:r>
      <w:r>
        <w:fldChar w:fldCharType="separate"/>
      </w:r>
      <w:r>
        <w:rPr>
          <w:color w:val="000000" w:themeColor="text1"/>
          <w14:textFill>
            <w14:solidFill>
              <w14:schemeClr w14:val="tx1"/>
            </w14:solidFill>
          </w14:textFill>
        </w:rPr>
        <w:t xml:space="preserve">11.客户要求、标书和合同评审程序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"https://pqsuhhq8yu6.feishu.cn/wiki/B9xdwUqwti1mIrkvJKAcy4s5nXc" \h </w:instrText>
      </w:r>
      <w:r>
        <w:fldChar w:fldCharType="separate"/>
      </w:r>
      <w:r>
        <w:rPr>
          <w:color w:val="000000" w:themeColor="text1"/>
          <w14:textFill>
            <w14:solidFill>
              <w14:schemeClr w14:val="tx1"/>
            </w14:solidFill>
          </w14:textFill>
        </w:rPr>
        <w:t xml:space="preserve">ZJZ/JL 12-1 检测分包方评审表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"https://pqsuhhq8yu6.feishu.cn/wiki/MdkBwTtQCicsPIkpLd8c3wpcnOP" \h </w:instrText>
      </w:r>
      <w:r>
        <w:fldChar w:fldCharType="separate"/>
      </w:r>
      <w:r>
        <w:rPr>
          <w:color w:val="000000" w:themeColor="text1"/>
          <w14:textFill>
            <w14:solidFill>
              <w14:schemeClr w14:val="tx1"/>
            </w14:solidFill>
          </w14:textFill>
        </w:rPr>
        <w:t xml:space="preserve">ZJZ/JL 12-2 外送服务审批表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"https://pqsuhhq8yu6.feishu.cn/wiki/WOBLw7aA7iyEEGkTfabcJq1znJf" \h </w:instrText>
      </w:r>
      <w:r>
        <w:fldChar w:fldCharType="separate"/>
      </w:r>
      <w:r>
        <w:rPr>
          <w:color w:val="000000" w:themeColor="text1"/>
          <w14:textFill>
            <w14:solidFill>
              <w14:schemeClr w14:val="tx1"/>
            </w14:solidFill>
          </w14:textFill>
        </w:rPr>
        <w:t xml:space="preserve">ZJZ/JL 12-3 分包结果验收表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3" w:name="_Toc11699"/>
      <w:r>
        <w:rPr>
          <w:color w:val="000000" w:themeColor="text1"/>
          <w14:textFill>
            <w14:solidFill>
              <w14:schemeClr w14:val="tx1"/>
            </w14:solidFill>
          </w14:textFill>
        </w:rPr>
        <w:t xml:space="preserve">ZJZ/CX-13 服务和供应品管理程序</w:t>
      </w:r>
      <w:bookmarkEnd w:id="33"/>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为保证检验检测/校准数据准确可靠，对检验检测/校准质量有影响的服务和供应品进行控制，特制定本程序。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本程序适用于对检验检测/校准质量有影响的服务和供应品的选择、购买、验收、存储、使用等过程的控制。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实验室主任：负责组织本室所需服务及供应品计划的上报、验收、管理、信息反馈。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材料管理员：负责本站所需服务及供应品计划的汇总上报，负责组织本站所需服务及供应品的形式验收、质量验收、管理和信息反馈。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技术负责人/质量负责人：负责本站所需服务及供应品计划的审核。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检验检测人员：负责本岗位所需服务及供应品的上报、到货验收及日常领取、使用。</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服务和供应品的范围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服务可包括检定/校准服务、培训服务、仪器设备购置、环境设施的设计和施工、设备设施的运输、安装和保养、危险废物处理、能力验证服务以及评审和审核服务等。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供应品可包括测量标准和设备、辅助设备、试剂材料和标准物质等。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合格供应方的评价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作为一个合格的供应方，应具备以下条件：</w:t>
      </w:r>
      <w:r>
        <w:rPr>
          <w:color w:val="000000" w:themeColor="text1"/>
          <w14:textFill>
            <w14:solidFill>
              <w14:schemeClr w14:val="tx1"/>
            </w14:solidFill>
          </w14:textFill>
        </w:rPr>
      </w:r>
    </w:p>
    <w:p>
      <w:pPr>
        <w:pStyle w:val="1996"/>
        <w:numPr>
          <w:ilvl w:val="0"/>
          <w:numId w:val="14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有企业法人营业执照，经营范围符合要求；</w:t>
      </w:r>
      <w:r>
        <w:rPr>
          <w:color w:val="000000" w:themeColor="text1"/>
          <w14:textFill>
            <w14:solidFill>
              <w14:schemeClr w14:val="tx1"/>
            </w14:solidFill>
          </w14:textFill>
        </w:rPr>
      </w:r>
    </w:p>
    <w:p>
      <w:pPr>
        <w:pStyle w:val="1996"/>
        <w:numPr>
          <w:ilvl w:val="0"/>
          <w:numId w:val="14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有供货能力和赔偿能力；</w:t>
      </w:r>
      <w:r>
        <w:rPr>
          <w:color w:val="000000" w:themeColor="text1"/>
          <w14:textFill>
            <w14:solidFill>
              <w14:schemeClr w14:val="tx1"/>
            </w14:solidFill>
          </w14:textFill>
        </w:rPr>
      </w:r>
    </w:p>
    <w:p>
      <w:pPr>
        <w:pStyle w:val="1996"/>
        <w:numPr>
          <w:ilvl w:val="0"/>
          <w:numId w:val="15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有产品质量检验证明书、合格证、使用说明书等技术资料；</w:t>
      </w:r>
      <w:r>
        <w:rPr>
          <w:color w:val="000000" w:themeColor="text1"/>
          <w14:textFill>
            <w14:solidFill>
              <w14:schemeClr w14:val="tx1"/>
            </w14:solidFill>
          </w14:textFill>
        </w:rPr>
      </w:r>
    </w:p>
    <w:p>
      <w:pPr>
        <w:pStyle w:val="1996"/>
        <w:numPr>
          <w:ilvl w:val="0"/>
          <w:numId w:val="15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产品技术性能指标、参数等符合国家标准；</w:t>
      </w:r>
      <w:r>
        <w:rPr>
          <w:color w:val="000000" w:themeColor="text1"/>
          <w14:textFill>
            <w14:solidFill>
              <w14:schemeClr w14:val="tx1"/>
            </w14:solidFill>
          </w14:textFill>
        </w:rPr>
      </w:r>
    </w:p>
    <w:p>
      <w:pPr>
        <w:pStyle w:val="1996"/>
        <w:numPr>
          <w:ilvl w:val="0"/>
          <w:numId w:val="15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销售化学试剂的供方，应具有国家对其行业特定要求准许其营业的各种资质证件。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固定的合格供应方由西北油田分公司物资供应管理中心或实验检测技术中心生产运行室和综合管理室按照西北油田分公司市场管理要求进行评审确认，并组织供应商业绩考核评价。质量检测站材料管理员负责梳理与本站业务相关的供应方，填写</w:t>
      </w:r>
      <w:r>
        <w:fldChar w:fldCharType="begin"/>
      </w:r>
      <w:r>
        <w:instrText xml:space="preserve"> HYPERLINK "https://pqsuhhq8yu6.feishu.cn/wiki/KHNBwsJHdipUHakZ2K5chEh3nPg" \h </w:instrText>
      </w:r>
      <w:r>
        <w:fldChar w:fldCharType="separate"/>
      </w:r>
      <w:r>
        <w:rPr>
          <w:color w:val="000000" w:themeColor="text1"/>
          <w14:textFill>
            <w14:solidFill>
              <w14:schemeClr w14:val="tx1"/>
            </w14:solidFill>
          </w14:textFill>
        </w:rPr>
        <w:t xml:space="preserve">ZJZ/JL13-5合格供应商名录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并动态更新，技术负责人组织实验室室主任、技术人员对供应方进行评审是否满足检验检测要求，在结束服务时，应根据服务情况填写</w:t>
      </w:r>
      <w:r>
        <w:fldChar w:fldCharType="begin"/>
      </w:r>
      <w:r>
        <w:instrText xml:space="preserve"> HYPERLINK "https://pqsuhhq8yu6.feishu.cn/wiki/Gctyws8VeiJaf3k31fVc6i8snYi" \h </w:instrText>
      </w:r>
      <w:r>
        <w:fldChar w:fldCharType="separate"/>
      </w:r>
      <w:r>
        <w:rPr>
          <w:color w:val="000000" w:themeColor="text1"/>
          <w14:textFill>
            <w14:solidFill>
              <w14:schemeClr w14:val="tx1"/>
            </w14:solidFill>
          </w14:textFill>
        </w:rPr>
        <w:t xml:space="preserve">ZJZ/JL13-1西北油田分公司供应商考核评价表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检验检测人员在使用服务和供应品时，如发现使用过程中的存在质量问题，及时将其反馈至实验室室主任确认，确认后报技术负责人，根据确认情况向实验检测技术中心生产运行室物资材料岗进行反馈，并定期跟踪反馈处理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采购计划的申报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每季度各实验室室主任组织岗位人员根据材料现有库存情况、消耗情况、本年度预期工作量等情况编制试剂材料申报计划单，报材料管理员汇总。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材料管理员组织本站各实验室根据工作需求汇总材料申报计划单。经站领导或技术负责人/质量负责人审批后，由材料管理员上报中心生产运行室和综合管理室采购。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当出现临时性、急迫性的材料采购时，由实验室室主任编制临时采购申请，申请中应注明所需材料的名称、型号、数量、用途等信息，报站领导审批后，由材料管理员上报中心生产运行室采购，必要时由站领导与生产运行室经理进行沟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采购物资的验收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采购物资的验收包括形式验收和质量验收。当采购物资作为辅助材料，不影响检验检测质量时，由材料管理员组织形式验收；当采购物质对检验检测结果有直接影响时，材料管理员应组织实验室室主任对其进行质量验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形式验收内容包括数量、规格、合格证等是否符合采购计划要求，由材料管理员填写</w:t>
      </w:r>
      <w:r>
        <w:fldChar w:fldCharType="begin"/>
      </w:r>
      <w:r>
        <w:instrText xml:space="preserve"> HYPERLINK "https://pqsuhhq8yu6.feishu.cn/wiki/UWGkwAOmiiyJOFkfo2cceww1ngL" \h </w:instrText>
      </w:r>
      <w:r>
        <w:fldChar w:fldCharType="separate"/>
      </w:r>
      <w:r>
        <w:rPr>
          <w:color w:val="000000" w:themeColor="text1"/>
          <w14:textFill>
            <w14:solidFill>
              <w14:schemeClr w14:val="tx1"/>
            </w14:solidFill>
          </w14:textFill>
        </w:rPr>
        <w:t xml:space="preserve">ZJZ/JL13-2材料物品到货验收单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对检测质量有直接影响的材料物品（如试剂，化学药品等），由实验室室主任组织岗位人员开展质量验收，质量验收可以采用标准物质、对比实验等形式开展，并填写</w:t>
      </w:r>
      <w:r>
        <w:fldChar w:fldCharType="begin"/>
      </w:r>
      <w:r>
        <w:instrText xml:space="preserve"> HYPERLINK "https://pqsuhhq8yu6.feishu.cn/wiki/YBdswYPpWiMZJRkxbHpczYLAnvn" \h </w:instrText>
      </w:r>
      <w:r>
        <w:fldChar w:fldCharType="separate"/>
      </w:r>
      <w:r>
        <w:rPr>
          <w:color w:val="000000" w:themeColor="text1"/>
          <w14:textFill>
            <w14:solidFill>
              <w14:schemeClr w14:val="tx1"/>
            </w14:solidFill>
          </w14:textFill>
        </w:rPr>
        <w:t xml:space="preserve">ZJZ/JL 13-8 实验材料质量验收单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材料管理员组织各室对到站的蒸馏水进行验收，并验收人填写</w:t>
      </w:r>
      <w:r>
        <w:fldChar w:fldCharType="begin"/>
      </w:r>
      <w:r>
        <w:instrText xml:space="preserve"> HYPERLINK "https://pqsuhhq8yu6.feishu.cn/wiki/OQfWwN2KaiAx8JkjkJLc12xfnwf" \h </w:instrText>
      </w:r>
      <w:r>
        <w:fldChar w:fldCharType="separate"/>
      </w:r>
      <w:r>
        <w:rPr>
          <w:color w:val="000000" w:themeColor="text1"/>
          <w14:textFill>
            <w14:solidFill>
              <w14:schemeClr w14:val="tx1"/>
            </w14:solidFill>
          </w14:textFill>
        </w:rPr>
        <w:t xml:space="preserve">ZJZ/JL13-6实验室用水验收记录表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4.4.5 当材料验收出现不合格品时，岗位人员有权拒收，对验收和使用中发现的问题及时向实验室室主任、技术负责人反映。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物资材料的存储和出入库</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验收合格的材料，由材料管理岗将到货清单导入实验分析系统的材料库，系统内直接导入或线下填写</w:t>
      </w:r>
      <w:r>
        <w:fldChar w:fldCharType="begin"/>
      </w:r>
      <w:r>
        <w:instrText xml:space="preserve"> HYPERLINK "https://pqsuhhq8yu6.feishu.cn/wiki/LlqOwEmgmi69wBkBGpdcrcUln4f" \h </w:instrText>
      </w:r>
      <w:r>
        <w:fldChar w:fldCharType="separate"/>
      </w:r>
      <w:r>
        <w:rPr>
          <w:color w:val="000000" w:themeColor="text1"/>
          <w14:textFill>
            <w14:solidFill>
              <w14:schemeClr w14:val="tx1"/>
            </w14:solidFill>
          </w14:textFill>
        </w:rPr>
        <w:t xml:space="preserve">ZJZ/JL 13-3 </w:t>
      </w:r>
      <w:r>
        <w:rPr>
          <w:rFonts w:hint="eastAsia"/>
          <w:color w:val="000000" w:themeColor="text1"/>
          <w:lang w:val="en-US" w:eastAsia="zh-CN"/>
          <w14:textFill>
            <w14:solidFill>
              <w14:schemeClr w14:val="tx1"/>
            </w14:solidFill>
          </w14:textFill>
        </w:rPr>
        <w:t xml:space="preserve">材料物品</w:t>
      </w:r>
      <w:r>
        <w:rPr>
          <w:color w:val="000000" w:themeColor="text1"/>
          <w14:textFill>
            <w14:solidFill>
              <w14:schemeClr w14:val="tx1"/>
            </w14:solidFill>
          </w14:textFill>
        </w:rPr>
        <w:t xml:space="preserve">入库登记表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和</w:t>
      </w:r>
      <w:r>
        <w:fldChar w:fldCharType="begin"/>
      </w:r>
      <w:r>
        <w:instrText xml:space="preserve"> HYPERLINK "https://pqsuhhq8yu6.feishu.cn/wiki/Sz2pwoBiCi3p4xk3wIBcUCsDn8d" \h </w:instrText>
      </w:r>
      <w:r>
        <w:fldChar w:fldCharType="separate"/>
      </w:r>
      <w:r>
        <w:rPr>
          <w:color w:val="000000" w:themeColor="text1"/>
          <w14:textFill>
            <w14:solidFill>
              <w14:schemeClr w14:val="tx1"/>
            </w14:solidFill>
          </w14:textFill>
        </w:rPr>
        <w:t xml:space="preserve">ZJZ/JL 13-4 </w:t>
      </w:r>
      <w:r>
        <w:rPr>
          <w:rFonts w:hint="eastAsia"/>
          <w:color w:val="000000" w:themeColor="text1"/>
          <w:lang w:val="en-US" w:eastAsia="zh-CN"/>
          <w14:textFill>
            <w14:solidFill>
              <w14:schemeClr w14:val="tx1"/>
            </w14:solidFill>
          </w14:textFill>
        </w:rPr>
        <w:t xml:space="preserve">材料物品</w:t>
      </w:r>
      <w:r>
        <w:rPr>
          <w:color w:val="000000" w:themeColor="text1"/>
          <w14:textFill>
            <w14:solidFill>
              <w14:schemeClr w14:val="tx1"/>
            </w14:solidFill>
          </w14:textFill>
        </w:rPr>
        <w:t xml:space="preserve">出库登记表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材料管理员通过实验分析系统的材料库导出或根据动态更新建立</w:t>
      </w:r>
      <w:r>
        <w:fldChar w:fldCharType="begin"/>
      </w:r>
      <w:r>
        <w:instrText xml:space="preserve"> HYPERLINK "https://pqsuhhq8yu6.feishu.cn/wiki/VRqvwuyK5irmLKkfZTRc3qVgnCb" \h </w:instrText>
      </w:r>
      <w:r>
        <w:fldChar w:fldCharType="separate"/>
      </w:r>
      <w:r>
        <w:rPr>
          <w:color w:val="000000" w:themeColor="text1"/>
          <w14:textFill>
            <w14:solidFill>
              <w14:schemeClr w14:val="tx1"/>
            </w14:solidFill>
          </w14:textFill>
        </w:rPr>
        <w:t xml:space="preserve">ZJZ/JL 13-7 试剂、化学药品台账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检验检测人员根据需要在实验分析系统中申请领用试剂、化学药品等材料，经综合管理室审批后，由库房管理员发放。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危险化学品的存储和出入库执行</w:t>
      </w:r>
      <w:r>
        <w:fldChar w:fldCharType="begin"/>
      </w:r>
      <w:r>
        <w:instrText xml:space="preserve"> HYPERLINK "https://pqsuhhq8yu6.feishu.cn/wiki/RgAkwcsdkimmtPk4aATcdhICnVg" \h </w:instrText>
      </w:r>
      <w:r>
        <w:fldChar w:fldCharType="separate"/>
      </w:r>
      <w:r>
        <w:rPr>
          <w:color w:val="000000" w:themeColor="text1"/>
          <w14:textFill>
            <w14:solidFill>
              <w14:schemeClr w14:val="tx1"/>
            </w14:solidFill>
          </w14:textFill>
        </w:rPr>
        <w:t xml:space="preserve">ZJZ/CX-32 危险化学品安全管理控制程序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4.5.5 材料管理员每年应开展一次物资材料盘库，确保库房内存储的材料与实验分析系统材料库账物一致。</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"https://pqsuhhq8yu6.feishu.cn/wiki/RgAkwcsdkimmtPk4aATcdhICnVg" \h </w:instrText>
      </w:r>
      <w:r>
        <w:fldChar w:fldCharType="separate"/>
      </w:r>
      <w:r>
        <w:rPr>
          <w:color w:val="000000" w:themeColor="text1"/>
          <w14:textFill>
            <w14:solidFill>
              <w14:schemeClr w14:val="tx1"/>
            </w14:solidFill>
          </w14:textFill>
        </w:rPr>
        <w:t xml:space="preserve">ZJZ/CX-32 危险化学品安全管理控制程序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"https://pqsuhhq8yu6.feishu.cn/wiki/K24rw1uVjiwY6wkmV5hcPyRcnZg" \h </w:instrText>
      </w:r>
      <w:r>
        <w:fldChar w:fldCharType="separate"/>
      </w:r>
      <w:r>
        <w:rPr>
          <w:color w:val="000000" w:themeColor="text1"/>
          <w14:textFill>
            <w14:solidFill>
              <w14:schemeClr w14:val="tx1"/>
            </w14:solidFill>
          </w14:textFill>
        </w:rPr>
        <w:t xml:space="preserve">ZJZ/JL08-1试剂、药品、标准物质验收单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"https://pqsuhhq8yu6.feishu.cn/wiki/Gctyws8VeiJaf3k31fVc6i8snYi" \h </w:instrText>
      </w:r>
      <w:r>
        <w:fldChar w:fldCharType="separate"/>
      </w:r>
      <w:r>
        <w:rPr>
          <w:color w:val="000000" w:themeColor="text1"/>
          <w14:textFill>
            <w14:solidFill>
              <w14:schemeClr w14:val="tx1"/>
            </w14:solidFill>
          </w14:textFill>
        </w:rPr>
        <w:t xml:space="preserve">ZJZ/JL13-1西北油田分公司供应商考核评价表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"https://pqsuhhq8yu6.feishu.cn/wiki/UWGkwAOmiiyJOFkfo2cceww1ngL" \h </w:instrText>
      </w:r>
      <w:r>
        <w:fldChar w:fldCharType="separate"/>
      </w:r>
      <w:r>
        <w:rPr>
          <w:color w:val="000000" w:themeColor="text1"/>
          <w14:textFill>
            <w14:solidFill>
              <w14:schemeClr w14:val="tx1"/>
            </w14:solidFill>
          </w14:textFill>
        </w:rPr>
        <w:t xml:space="preserve">ZJZ/JL13-2材料物品到货验收单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"https://pqsuhhq8yu6.feishu.cn/wiki/LlqOwEmgmi69wBkBGpdcrcUln4f" \h </w:instrText>
      </w:r>
      <w:r>
        <w:fldChar w:fldCharType="separate"/>
      </w:r>
      <w:r>
        <w:rPr>
          <w:color w:val="000000" w:themeColor="text1"/>
          <w14:textFill>
            <w14:solidFill>
              <w14:schemeClr w14:val="tx1"/>
            </w14:solidFill>
          </w14:textFill>
        </w:rPr>
        <w:t xml:space="preserve">ZJZ/JL13-3</w:t>
      </w:r>
      <w:r>
        <w:rPr>
          <w:rFonts w:hint="eastAsia"/>
          <w:color w:val="000000" w:themeColor="text1"/>
          <w:lang w:val="en-US" w:eastAsia="zh-CN"/>
          <w14:textFill>
            <w14:solidFill>
              <w14:schemeClr w14:val="tx1"/>
            </w14:solidFill>
          </w14:textFill>
        </w:rPr>
        <w:t xml:space="preserve">材料物品</w:t>
      </w:r>
      <w:r>
        <w:rPr>
          <w:color w:val="000000" w:themeColor="text1"/>
          <w14:textFill>
            <w14:solidFill>
              <w14:schemeClr w14:val="tx1"/>
            </w14:solidFill>
          </w14:textFill>
        </w:rPr>
        <w:t xml:space="preserve">入库登记表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"https://pqsuhhq8yu6.feishu.cn/wiki/Sz2pwoBiCi3p4xk3wIBcUCsDn8d" \h </w:instrText>
      </w:r>
      <w:r>
        <w:fldChar w:fldCharType="separate"/>
      </w:r>
      <w:r>
        <w:rPr>
          <w:color w:val="000000" w:themeColor="text1"/>
          <w14:textFill>
            <w14:solidFill>
              <w14:schemeClr w14:val="tx1"/>
            </w14:solidFill>
          </w14:textFill>
        </w:rPr>
        <w:t xml:space="preserve">ZJZ/JL13-4</w:t>
      </w:r>
      <w:r>
        <w:rPr>
          <w:rFonts w:hint="eastAsia"/>
          <w:color w:val="000000" w:themeColor="text1"/>
          <w:lang w:val="en-US" w:eastAsia="zh-CN"/>
          <w14:textFill>
            <w14:solidFill>
              <w14:schemeClr w14:val="tx1"/>
            </w14:solidFill>
          </w14:textFill>
        </w:rPr>
        <w:t xml:space="preserve">材料物品</w:t>
      </w:r>
      <w:r>
        <w:rPr>
          <w:color w:val="000000" w:themeColor="text1"/>
          <w14:textFill>
            <w14:solidFill>
              <w14:schemeClr w14:val="tx1"/>
            </w14:solidFill>
          </w14:textFill>
        </w:rPr>
        <w:t xml:space="preserve">出库登记表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"https://pqsuhhq8yu6.feishu.cn/wiki/KHNBwsJHdipUHakZ2K5chEh3nPg" \h </w:instrText>
      </w:r>
      <w:r>
        <w:fldChar w:fldCharType="separate"/>
      </w:r>
      <w:r>
        <w:rPr>
          <w:color w:val="000000" w:themeColor="text1"/>
          <w14:textFill>
            <w14:solidFill>
              <w14:schemeClr w14:val="tx1"/>
            </w14:solidFill>
          </w14:textFill>
        </w:rPr>
        <w:t xml:space="preserve">ZJZ/JL13-5合格供应商名录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"https://pqsuhhq8yu6.feishu.cn/wiki/OQfWwN2KaiAx8JkjkJLc12xfnwf" \h </w:instrText>
      </w:r>
      <w:r>
        <w:fldChar w:fldCharType="separate"/>
      </w:r>
      <w:r>
        <w:rPr>
          <w:color w:val="000000" w:themeColor="text1"/>
          <w14:textFill>
            <w14:solidFill>
              <w14:schemeClr w14:val="tx1"/>
            </w14:solidFill>
          </w14:textFill>
        </w:rPr>
        <w:t xml:space="preserve">ZJZ/JL13-6实验室用水验收记录表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"https://pqsuhhq8yu6.feishu.cn/wiki/VRqvwuyK5irmLKkfZTRc3qVgnCb" \h </w:instrText>
      </w:r>
      <w:r>
        <w:fldChar w:fldCharType="separate"/>
      </w:r>
      <w:r>
        <w:rPr>
          <w:color w:val="000000" w:themeColor="text1"/>
          <w14:textFill>
            <w14:solidFill>
              <w14:schemeClr w14:val="tx1"/>
            </w14:solidFill>
          </w14:textFill>
        </w:rPr>
        <w:t xml:space="preserve">ZJZ/JL13-7试剂、化学药品台账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4" w:name="_Toc10569"/>
      <w:r>
        <w:rPr>
          <w:color w:val="000000" w:themeColor="text1"/>
          <w14:textFill>
            <w14:solidFill>
              <w14:schemeClr w14:val="tx1"/>
            </w14:solidFill>
          </w14:textFill>
        </w:rPr>
        <w:t xml:space="preserve">ZJZ/CX-14 服务客户程序</w:t>
      </w:r>
      <w:bookmarkEnd w:id="34"/>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为确保与客户保持良好的协作关系，明确和满足客户要求，保持客户对本站信心，收集客户反馈信息，为采取纠正措施和改进措施提供依据，特制定本程序。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适用于本站与客户保持良好的沟通，对收集和反馈的信息进行处理。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站长/最高管理者：做出服务承诺，组织研判客户需求，协调资源以落实改进措施。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质量负责人：负责组织质量控制及体系相关方面改进内容的落实。</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技术负责人：负责组织检测方法及技术方面相关改进内容的落实。</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综合管理室：负责了解、收集和上报客户的需求和服务至专业室主任，及时向客户反馈意见。</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最高管理者根据质量检测站的资源配置和管理体系运行情况做出针对客户的服务承诺。承诺内容见质量手册</w:t>
      </w:r>
      <w:r>
        <w:fldChar w:fldCharType="begin"/>
      </w:r>
      <w:r>
        <w:instrText xml:space="preserve"> HYPERLINK "https://pqsuhhq8yu6.feishu.cn/wiki/FTkAwXgUdiyEqakvfqicmsAgnch" \h </w:instrText>
      </w:r>
      <w:r>
        <w:fldChar w:fldCharType="separate"/>
      </w:r>
      <w:r>
        <w:rPr>
          <w:color w:val="000000" w:themeColor="text1"/>
          <w14:textFill>
            <w14:solidFill>
              <w14:schemeClr w14:val="tx1"/>
            </w14:solidFill>
          </w14:textFill>
        </w:rPr>
        <w:t xml:space="preserve">0.4 服务承诺</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质量检测站在服务网站上传</w:t>
      </w:r>
      <w:r>
        <w:fldChar w:fldCharType="begin"/>
      </w:r>
      <w:r>
        <w:instrText xml:space="preserve"> HYPERLINK "https://pqsuhhq8yu6.feishu.cn/wiki/P8B3wcpx2icGJHkbkKTcUSyyndg" \h </w:instrText>
      </w:r>
      <w:r>
        <w:fldChar w:fldCharType="separate"/>
      </w:r>
      <w:r>
        <w:rPr>
          <w:color w:val="000000" w:themeColor="text1"/>
          <w14:textFill>
            <w14:solidFill>
              <w14:schemeClr w14:val="tx1"/>
            </w14:solidFill>
          </w14:textFill>
        </w:rPr>
        <w:t xml:space="preserve">0.3 独立性、公正性、诚实性、保密性声明</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，向社会公开自我承诺。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综合管理室样品管理员负责客户的接待，明确客户的需求和服务，确定满足客户要求的服务方式和服务内容。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样品管理员在接收客户服务任务时，明确客户的要求或期望，例如工作量、技术工作标准、完成日期及其他特殊要求。并将客户要求如实填写</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ZJZ/JL 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，如果有其他特殊要求，应及时沟通确认需求是否满足，必要时上报技术负责人进行确认是否能够满足客户需求。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客户如需要到现场检验/检测的工作，本站应及时安排，检测人员按照与客户商定的时间、地点、交通方式到现场服务。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在实验室活动（包括现场服务）过程中出现数据或其他异常情况，由实验室主任（分公司及以上重要项目应由最高管理者）及时通知客户，明确协商解决办法，并在相关记录和报告中说明。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 客户要求参观实验室时，填写</w:t>
      </w:r>
      <w:r>
        <w:fldChar w:fldCharType="begin"/>
      </w:r>
      <w:r>
        <w:instrText xml:space="preserve"> HYPERLINK "https://pqsuhhq8yu6.feishu.cn/wiki/I8NKwfEbtiFesHkaHXTcYfO9n4f" \h </w:instrText>
      </w:r>
      <w:r>
        <w:fldChar w:fldCharType="separate"/>
      </w:r>
      <w:r>
        <w:rPr>
          <w:color w:val="000000" w:themeColor="text1"/>
          <w14:textFill>
            <w14:solidFill>
              <w14:schemeClr w14:val="tx1"/>
            </w14:solidFill>
          </w14:textFill>
        </w:rPr>
        <w:t xml:space="preserve">ZJZ/JL 14-1 授权进入检验检测区域审批表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，在确保其他客户机密信息和不影响检验检测数据准确性的前提下，经质量负责人审批后，可以进入实验室监视或直接观察与客户所委托的检验检测工作有关的操作。但在参观时应注意：</w:t>
      </w:r>
      <w:r>
        <w:rPr>
          <w:color w:val="000000" w:themeColor="text1"/>
          <w14:textFill>
            <w14:solidFill>
              <w14:schemeClr w14:val="tx1"/>
            </w14:solidFill>
          </w14:textFill>
        </w:rPr>
      </w:r>
    </w:p>
    <w:p>
      <w:pPr>
        <w:pStyle w:val="1996"/>
        <w:numPr>
          <w:ilvl w:val="0"/>
          <w:numId w:val="15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允许适当进入实验室相关区域，以见证与该客户相关的实验室活动。</w:t>
      </w:r>
      <w:r>
        <w:rPr>
          <w:color w:val="000000" w:themeColor="text1"/>
          <w14:textFill>
            <w14:solidFill>
              <w14:schemeClr w14:val="tx1"/>
            </w14:solidFill>
          </w14:textFill>
        </w:rPr>
      </w:r>
    </w:p>
    <w:p>
      <w:pPr>
        <w:pStyle w:val="1996"/>
        <w:numPr>
          <w:ilvl w:val="0"/>
          <w:numId w:val="15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客户出于验证目的所需物品的准备、包装和发送。</w:t>
      </w:r>
      <w:r>
        <w:rPr>
          <w:color w:val="000000" w:themeColor="text1"/>
          <w14:textFill>
            <w14:solidFill>
              <w14:schemeClr w14:val="tx1"/>
            </w14:solidFill>
          </w14:textFill>
        </w:rPr>
      </w:r>
    </w:p>
    <w:p>
      <w:pPr>
        <w:pStyle w:val="1996"/>
        <w:numPr>
          <w:ilvl w:val="0"/>
          <w:numId w:val="15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在参观区域无法完全隔离情况下，涉及本站及其他客户秘密，应得到本站及其他客户同意。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 若不能按照下达的时间完成样品检验检测，实验室室主任应及时告知客户，并说明原因，并与客户协商解决办法。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 根据客户要求或检测工作需要偏离时，必须经过技术负责人批准和征得客户的同意，并在原始记录和报告中说明。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 当客户对检验/检测结果有疑问时，技术负责人或授权签字人负责向客户解释和说明。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综合管理室负责收集无论是正面的还是负面的来自客户、社会、管理部门等对本站的各种要求和意见反馈，可以通过信函、电话、电子邮件、交流等方式。每年度对服务承诺执行情况进行客户满意度调查，发放</w:t>
      </w:r>
      <w:r>
        <w:fldChar w:fldCharType="begin"/>
      </w:r>
      <w:r>
        <w:instrText xml:space="preserve"> HYPERLINK "https://pqsuhhq8yu6.feishu.cn/wiki/Dr7fwAaWMivVRdkdcnvcieS0nTd" \h </w:instrText>
      </w:r>
      <w:r>
        <w:fldChar w:fldCharType="separate"/>
      </w:r>
      <w:r>
        <w:rPr>
          <w:color w:val="000000" w:themeColor="text1"/>
          <w14:textFill>
            <w14:solidFill>
              <w14:schemeClr w14:val="tx1"/>
            </w14:solidFill>
          </w14:textFill>
        </w:rPr>
        <w:t xml:space="preserve">ZJZ/JL15-1顾客满意度调查/投诉信息处理登记表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，收集到的客户意见及时向质量负责人反馈。针对客户提出的意见或建议应在质量负责人作出处理后，及时向客户反馈处理结果。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当有负面意见反馈时，启动</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或</w:t>
      </w:r>
      <w:r>
        <w:fldChar w:fldCharType="begin"/>
      </w:r>
      <w:r>
        <w:instrText xml:space="preserve"> HYPERLINK "https://pqsuhhq8yu6.feishu.cn/wiki/QhzdwLan2iVaOmkXjY7ck63zn9c" \h </w:instrText>
      </w:r>
      <w:r>
        <w:fldChar w:fldCharType="separate"/>
      </w:r>
      <w:r>
        <w:rPr>
          <w:color w:val="000000" w:themeColor="text1"/>
          <w14:textFill>
            <w14:solidFill>
              <w14:schemeClr w14:val="tx1"/>
            </w14:solidFill>
          </w14:textFill>
        </w:rPr>
        <w:t xml:space="preserve">ZJZ/CX-15 投诉处理程序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或</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"https://pqsuhhq8yu6.feishu.cn/wiki/QhzdwLan2iVaOmkXjY7ck63zn9c" \h </w:instrText>
      </w:r>
      <w:r>
        <w:fldChar w:fldCharType="separate"/>
      </w:r>
      <w:r>
        <w:rPr>
          <w:color w:val="000000" w:themeColor="text1"/>
          <w14:textFill>
            <w14:solidFill>
              <w14:schemeClr w14:val="tx1"/>
            </w14:solidFill>
          </w14:textFill>
        </w:rPr>
        <w:t xml:space="preserve">ZJZ/CX-15 投诉处理程序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"https://pqsuhhq8yu6.feishu.cn/wiki/I8NKwfEbtiFesHkaHXTcYfO9n4f" \h </w:instrText>
      </w:r>
      <w:r>
        <w:fldChar w:fldCharType="separate"/>
      </w:r>
      <w:r>
        <w:rPr>
          <w:color w:val="000000" w:themeColor="text1"/>
          <w:highlight w:val="yellow"/>
          <w14:textFill>
            <w14:solidFill>
              <w14:schemeClr w14:val="tx1"/>
            </w14:solidFill>
          </w14:textFill>
        </w:rPr>
        <w:t xml:space="preserve">ZJZ/JL 14-1 授权进入检验检测区域审批表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"https://pqsuhhq8yu6.feishu.cn/wiki/Dr7fwAaWMivVRdkdcnvcieS0nTd" \h </w:instrText>
      </w:r>
      <w:r>
        <w:fldChar w:fldCharType="separate"/>
      </w:r>
      <w:r>
        <w:rPr>
          <w:color w:val="000000" w:themeColor="text1"/>
          <w14:textFill>
            <w14:solidFill>
              <w14:schemeClr w14:val="tx1"/>
            </w14:solidFill>
          </w14:textFill>
        </w:rPr>
        <w:t xml:space="preserve">ZJZ/JL15-1顾客满意度调查/投诉信息处理登记表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5" w:name="_Toc4373"/>
      <w:r>
        <w:rPr>
          <w:color w:val="000000" w:themeColor="text1"/>
          <w14:textFill>
            <w14:solidFill>
              <w14:schemeClr w14:val="tx1"/>
            </w14:solidFill>
          </w14:textFill>
        </w:rPr>
        <w:t xml:space="preserve">ZJZ/CX-15 申诉和投诉处理程序</w:t>
      </w:r>
      <w:bookmarkEnd w:id="35"/>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为了正确、有效地处理客户和被检验检测方对站工作质量提出的申诉、投诉和意见，维护客</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户的权益和本站服务信誉，特制订本程序。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适用于所有客户对本站工作质量申诉、投诉、意见的受理和处理。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最高管理者：负责重大的、特殊的申诉和投诉问题的最终裁定，负责处置措施的批准。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站长：负责投诉问题处理的最终裁定，负责处置措施的批准。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质量负责人：负责客户申诉、投诉的总体控制，并组织申诉、投诉、意见的调查，负责纠正措施落实以及向客户反馈信息。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综合管理室：负责相关不满意信息的受理，负责客户满意度调查；负责处理后文件的归档。</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w:t>
      </w:r>
      <w:r>
        <w:rPr>
          <w:b/>
          <w:color w:val="000000" w:themeColor="text1"/>
          <w14:textFill>
            <w14:solidFill>
              <w14:schemeClr w14:val="tx1"/>
            </w14:solidFill>
          </w14:textFill>
        </w:rPr>
        <w:t xml:space="preserve">信息受理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信息主要来源于客户的投诉（口头、电话或书面报告）、走访、调查、市场调研、媒体信息、社会各界及本单位员工的反馈信息、上级部门的反馈等。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由综合管理室负责客户申诉、投诉、意见的受理工作，可采用以下形式受理：</w:t>
      </w:r>
      <w:r>
        <w:rPr>
          <w:color w:val="000000" w:themeColor="text1"/>
          <w14:textFill>
            <w14:solidFill>
              <w14:schemeClr w14:val="tx1"/>
            </w14:solidFill>
          </w14:textFill>
        </w:rPr>
      </w:r>
    </w:p>
    <w:p>
      <w:pPr>
        <w:pStyle w:val="1996"/>
        <w:numPr>
          <w:ilvl w:val="0"/>
          <w:numId w:val="15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样品管理员或综合管理员作为直接与客户接触的人员随时了解客户不满意的信息。</w:t>
      </w:r>
      <w:r>
        <w:rPr>
          <w:color w:val="000000" w:themeColor="text1"/>
          <w14:textFill>
            <w14:solidFill>
              <w14:schemeClr w14:val="tx1"/>
            </w14:solidFill>
          </w14:textFill>
        </w:rPr>
      </w:r>
    </w:p>
    <w:p>
      <w:pPr>
        <w:pStyle w:val="1996"/>
        <w:numPr>
          <w:ilvl w:val="0"/>
          <w:numId w:val="15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样品管理员定期向客户发放</w:t>
      </w:r>
      <w:r>
        <w:fldChar w:fldCharType="begin"/>
      </w:r>
      <w:r>
        <w:instrText xml:space="preserve"> HYPERLINK "https://pqsuhhq8yu6.feishu.cn/wiki/Dr7fwAaWMivVRdkdcnvcieS0nTd" \h </w:instrText>
      </w:r>
      <w:r>
        <w:fldChar w:fldCharType="separate"/>
      </w:r>
      <w:r>
        <w:rPr>
          <w:color w:val="000000" w:themeColor="text1"/>
          <w14:textFill>
            <w14:solidFill>
              <w14:schemeClr w14:val="tx1"/>
            </w14:solidFill>
          </w14:textFill>
        </w:rPr>
        <w:t xml:space="preserve">ZJZ/JL 15-1 </w:t>
      </w:r>
      <w:r>
        <w:rPr>
          <w:rFonts w:cs="Times New Roman"/>
          <w:color w:val="000000"/>
        </w:rPr>
        <w:t xml:space="preserve">顾客满意度调查/投诉信息处理登记表</w:t>
      </w:r>
      <w:r>
        <w:rPr>
          <w:rFonts w:cs="Times New Roman"/>
          <w:color w:val="000000"/>
        </w:rPr>
        <w:fldChar w:fldCharType="end"/>
      </w:r>
      <w:r>
        <w:rPr>
          <w:color w:val="000000" w:themeColor="text1"/>
          <w14:textFill>
            <w14:solidFill>
              <w14:schemeClr w14:val="tx1"/>
            </w14:solidFill>
          </w14:textFill>
        </w:rPr>
        <w:t xml:space="preserve">，收集客户投诉和其他外部信息，及时上报质量负责人，必要时报最高管理者。</w:t>
      </w:r>
      <w:r>
        <w:rPr>
          <w:color w:val="000000" w:themeColor="text1"/>
          <w14:textFill>
            <w14:solidFill>
              <w14:schemeClr w14:val="tx1"/>
            </w14:solidFill>
          </w14:textFill>
        </w:rPr>
      </w:r>
    </w:p>
    <w:p>
      <w:pPr>
        <w:pStyle w:val="1996"/>
        <w:numPr>
          <w:ilvl w:val="0"/>
          <w:numId w:val="15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综合管理室或全体员工均有义务接收客户的信息反馈，全员应热情地接待客户的来电，耐心倾听客户的申诉、投诉，详细记录投诉的内容。</w:t>
      </w:r>
      <w:r>
        <w:rPr>
          <w:color w:val="000000" w:themeColor="text1"/>
          <w14:textFill>
            <w14:solidFill>
              <w14:schemeClr w14:val="tx1"/>
            </w14:solidFill>
          </w14:textFill>
        </w:rPr>
      </w:r>
    </w:p>
    <w:p>
      <w:pPr>
        <w:pStyle w:val="1996"/>
        <w:numPr>
          <w:ilvl w:val="0"/>
          <w:numId w:val="15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客户以来函的形式提出申诉、投诉或意见，综合管理室仔细阅读来函内容后，交质量负责人处置，综合管理室保留投诉信函。</w:t>
      </w:r>
      <w:r>
        <w:rPr>
          <w:color w:val="000000" w:themeColor="text1"/>
          <w14:textFill>
            <w14:solidFill>
              <w14:schemeClr w14:val="tx1"/>
            </w14:solidFill>
          </w14:textFill>
        </w:rPr>
      </w:r>
    </w:p>
    <w:p>
      <w:pPr>
        <w:pStyle w:val="1996"/>
        <w:numPr>
          <w:ilvl w:val="0"/>
          <w:numId w:val="16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根据西北油田分公司质量管理实施细则，当客户对检验检测结果质量有异议时，可向上级业务管理部门申请申诉，由上级部门给出处置意见，并流转至质量检测站。这种书面处置意见作为申诉的一种。如钻井液助剂材料检验，当客户对检验检测结果有异议时，向工程技术管理部提出申诉，工程技术管理部给出书面处置意见，并将该处置意见流转至质量检测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受理到申诉、投诉、意见后，</w:t>
      </w:r>
      <w:r>
        <w:rPr>
          <w:rFonts w:hint="eastAsia"/>
          <w:color w:val="000000" w:themeColor="text1"/>
          <w14:textFill>
            <w14:solidFill>
              <w14:schemeClr w14:val="tx1"/>
            </w14:solidFill>
          </w14:textFill>
        </w:rPr>
        <w:t xml:space="preserve">Z</w:t>
      </w:r>
      <w:r>
        <w:rPr>
          <w:color w:val="000000" w:themeColor="text1"/>
          <w14:textFill>
            <w14:solidFill>
              <w14:schemeClr w14:val="tx1"/>
            </w14:solidFill>
          </w14:textFill>
        </w:rPr>
        <w:t xml:space="preserve">JZ/CX-16</w:t>
      </w:r>
      <w:r>
        <w:rPr>
          <w:rFonts w:hint="eastAsia"/>
          <w:color w:val="000000" w:themeColor="text1"/>
          <w14:textFill>
            <w14:solidFill>
              <w14:schemeClr w14:val="tx1"/>
            </w14:solidFill>
          </w14:textFill>
        </w:rPr>
        <w:t xml:space="preserve">执行不符合工作控制程序</w:t>
      </w:r>
      <w:r>
        <w:rPr>
          <w:color w:val="000000" w:themeColor="text1"/>
          <w14:textFill>
            <w14:solidFill>
              <w14:schemeClr w14:val="tx1"/>
            </w14:solidFill>
          </w14:textFill>
        </w:rPr>
        <w:t xml:space="preserve">，上报质量负责人。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w:t>
      </w:r>
      <w:r>
        <w:rPr>
          <w:b/>
          <w:color w:val="000000" w:themeColor="text1"/>
          <w14:textFill>
            <w14:solidFill>
              <w14:schemeClr w14:val="tx1"/>
            </w14:solidFill>
          </w14:textFill>
        </w:rPr>
        <w:t xml:space="preserve">调查核实</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质量负责人将收集到的申诉、投诉、建议等信息进行核实，向客户及其代表进行调查，了解事情的全过程，确定责任方及责任人，保留调查记录。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对客户反映本站工作人员工作纪律、职业道德方面的问题，按4.3.3条处理。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质量负责人组织质量监督员、实验室室主任等有关人员对投诉材料或客户意见进行认真调查、分析、讨论。调查工作包括但不少于以下内容：</w:t>
      </w:r>
      <w:r>
        <w:rPr>
          <w:color w:val="000000" w:themeColor="text1"/>
          <w14:textFill>
            <w14:solidFill>
              <w14:schemeClr w14:val="tx1"/>
            </w14:solidFill>
          </w14:textFill>
        </w:rPr>
      </w:r>
    </w:p>
    <w:p>
      <w:pPr>
        <w:pStyle w:val="1996"/>
        <w:numPr>
          <w:ilvl w:val="0"/>
          <w:numId w:val="16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检验检测依据是否正确、有效； </w:t>
      </w:r>
      <w:r>
        <w:rPr>
          <w:color w:val="000000" w:themeColor="text1"/>
          <w14:textFill>
            <w14:solidFill>
              <w14:schemeClr w14:val="tx1"/>
            </w14:solidFill>
          </w14:textFill>
        </w:rPr>
      </w:r>
    </w:p>
    <w:p>
      <w:pPr>
        <w:pStyle w:val="1996"/>
        <w:numPr>
          <w:ilvl w:val="0"/>
          <w:numId w:val="16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所用仪器设备是否在检定周期之内，是否符合标准要求； </w:t>
      </w:r>
      <w:r>
        <w:rPr>
          <w:color w:val="000000" w:themeColor="text1"/>
          <w14:textFill>
            <w14:solidFill>
              <w14:schemeClr w14:val="tx1"/>
            </w14:solidFill>
          </w14:textFill>
        </w:rPr>
      </w:r>
    </w:p>
    <w:p>
      <w:pPr>
        <w:pStyle w:val="1996"/>
        <w:numPr>
          <w:ilvl w:val="0"/>
          <w:numId w:val="16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检验检测方法是否符合标准要求，是否有效； </w:t>
      </w:r>
      <w:r>
        <w:rPr>
          <w:color w:val="000000" w:themeColor="text1"/>
          <w14:textFill>
            <w14:solidFill>
              <w14:schemeClr w14:val="tx1"/>
            </w14:solidFill>
          </w14:textFill>
        </w:rPr>
      </w:r>
    </w:p>
    <w:p>
      <w:pPr>
        <w:pStyle w:val="1996"/>
        <w:numPr>
          <w:ilvl w:val="0"/>
          <w:numId w:val="16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检验检测工作程序是否符合规定要求； </w:t>
      </w:r>
      <w:r>
        <w:rPr>
          <w:color w:val="000000" w:themeColor="text1"/>
          <w14:textFill>
            <w14:solidFill>
              <w14:schemeClr w14:val="tx1"/>
            </w14:solidFill>
          </w14:textFill>
        </w:rPr>
      </w:r>
    </w:p>
    <w:p>
      <w:pPr>
        <w:pStyle w:val="1996"/>
        <w:numPr>
          <w:ilvl w:val="0"/>
          <w:numId w:val="16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检验检测环境条件是否符合标准要求； </w:t>
      </w:r>
      <w:r>
        <w:rPr>
          <w:color w:val="000000" w:themeColor="text1"/>
          <w14:textFill>
            <w14:solidFill>
              <w14:schemeClr w14:val="tx1"/>
            </w14:solidFill>
          </w14:textFill>
        </w:rPr>
      </w:r>
    </w:p>
    <w:p>
      <w:pPr>
        <w:pStyle w:val="1996"/>
        <w:numPr>
          <w:ilvl w:val="0"/>
          <w:numId w:val="16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数据处理是否正确。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技术负责人组织质量监督员、实验室室主任等有关技术人员对原检验检测技术方案、技术条件、原始记录、检验检测报告等进行检查、核实，分析后站长做出维持原报告或复检的决定。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w:t>
      </w:r>
      <w:r>
        <w:rPr>
          <w:b/>
          <w:color w:val="000000" w:themeColor="text1"/>
          <w14:textFill>
            <w14:solidFill>
              <w14:schemeClr w14:val="tx1"/>
            </w14:solidFill>
          </w14:textFill>
        </w:rPr>
        <w:t xml:space="preserve">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经过调查核实，确认检验检测结果正确，属于客户的不理解而非我方责任的，由质量负责人负责以电话、信函、走访等方式向客户解释清楚，以便取得客户的理解，消除误解。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如果确属本站原因，造成客户的投诉和不满意，质量负责人组织相关岗位人员按</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和</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进行原因分析，确定纠正措施并实施。客户要求复检理由充分时，质量负责人应安排复检。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复检工作应按照以下情况处置： </w:t>
      </w:r>
      <w:r>
        <w:rPr>
          <w:color w:val="000000" w:themeColor="text1"/>
          <w14:textFill>
            <w14:solidFill>
              <w14:schemeClr w14:val="tx1"/>
            </w14:solidFill>
          </w14:textFill>
        </w:rPr>
      </w:r>
    </w:p>
    <w:p>
      <w:pPr>
        <w:pStyle w:val="1996"/>
        <w:numPr>
          <w:ilvl w:val="0"/>
          <w:numId w:val="16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复检用原样品或备用样品进行，如果客户已取回原样品或样品超过留存期或不可重复的检验检测（如样品状态已变化等）则不予以复检。 </w:t>
      </w:r>
      <w:r>
        <w:rPr>
          <w:color w:val="000000" w:themeColor="text1"/>
          <w14:textFill>
            <w14:solidFill>
              <w14:schemeClr w14:val="tx1"/>
            </w14:solidFill>
          </w14:textFill>
        </w:rPr>
      </w:r>
    </w:p>
    <w:p>
      <w:pPr>
        <w:pStyle w:val="1996"/>
        <w:numPr>
          <w:ilvl w:val="0"/>
          <w:numId w:val="16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为保证公正性，凡与投诉有关的当事者应当回避，应另行安排具有相应技术水平的人员进行复检。 </w:t>
      </w:r>
      <w:r>
        <w:rPr>
          <w:color w:val="000000" w:themeColor="text1"/>
          <w14:textFill>
            <w14:solidFill>
              <w14:schemeClr w14:val="tx1"/>
            </w14:solidFill>
          </w14:textFill>
        </w:rPr>
      </w:r>
    </w:p>
    <w:p>
      <w:pPr>
        <w:pStyle w:val="1996"/>
        <w:numPr>
          <w:ilvl w:val="0"/>
          <w:numId w:val="16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当有上级部门流转的书面申诉处置意见单，按照审批的处置意见执行，并将最终结果以书面形式报上级部门。</w:t>
      </w:r>
      <w:r>
        <w:rPr>
          <w:color w:val="000000" w:themeColor="text1"/>
          <w14:textFill>
            <w14:solidFill>
              <w14:schemeClr w14:val="tx1"/>
            </w14:solidFill>
          </w14:textFill>
        </w:rPr>
      </w:r>
    </w:p>
    <w:p>
      <w:pPr>
        <w:pStyle w:val="1996"/>
        <w:numPr>
          <w:ilvl w:val="0"/>
          <w:numId w:val="17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复检结果与原报告有较大差别（如结果超出再现性要求或判定结论不一致），应重新组织人员再次复检，必要时可送其他实验室开展实验室间比对。</w:t>
      </w:r>
      <w:r>
        <w:rPr>
          <w:color w:val="000000" w:themeColor="text1"/>
          <w14:textFill>
            <w14:solidFill>
              <w14:schemeClr w14:val="tx1"/>
            </w14:solidFill>
          </w14:textFill>
        </w:rPr>
      </w:r>
    </w:p>
    <w:p>
      <w:pPr>
        <w:pStyle w:val="1996"/>
        <w:numPr>
          <w:ilvl w:val="0"/>
          <w:numId w:val="17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复检结果证明原报告无误，由质量负责人通知顾客。 </w:t>
      </w:r>
      <w:r>
        <w:rPr>
          <w:color w:val="000000" w:themeColor="text1"/>
          <w14:textFill>
            <w14:solidFill>
              <w14:schemeClr w14:val="tx1"/>
            </w14:solidFill>
          </w14:textFill>
        </w:rPr>
      </w:r>
    </w:p>
    <w:p>
      <w:pPr>
        <w:pStyle w:val="1996"/>
        <w:numPr>
          <w:ilvl w:val="0"/>
          <w:numId w:val="17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当投诉涉及重大质量事故时，质量负责人可提出附加审核的要求。 </w:t>
      </w:r>
      <w:r>
        <w:rPr>
          <w:color w:val="000000" w:themeColor="text1"/>
          <w14:textFill>
            <w14:solidFill>
              <w14:schemeClr w14:val="tx1"/>
            </w14:solidFill>
          </w14:textFill>
        </w:rPr>
      </w:r>
    </w:p>
    <w:p>
      <w:pPr>
        <w:pStyle w:val="1996"/>
        <w:numPr>
          <w:ilvl w:val="0"/>
          <w:numId w:val="17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对于涉及到工作人员公正性行为、服务态度、执行合同方面的问题、检验检测工作程序投诉，由质量负责人报最高管理者，由最高管理者组织调查处理。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w:t>
      </w:r>
      <w:r>
        <w:rPr>
          <w:b/>
          <w:color w:val="000000" w:themeColor="text1"/>
          <w14:textFill>
            <w14:solidFill>
              <w14:schemeClr w14:val="tx1"/>
            </w14:solidFill>
          </w14:textFill>
        </w:rPr>
        <w:t xml:space="preserve">答复</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质量负责人组织填写《</w:t>
      </w:r>
      <w:r>
        <w:rPr>
          <w:rFonts w:cs="Times New Roman"/>
          <w:color w:val="000000"/>
        </w:rPr>
        <w:t xml:space="preserve">顾客满意度调查/投诉信息处理登记表</w:t>
      </w:r>
      <w:r>
        <w:rPr>
          <w:color w:val="000000" w:themeColor="text1"/>
          <w14:textFill>
            <w14:solidFill>
              <w14:schemeClr w14:val="tx1"/>
            </w14:solidFill>
          </w14:textFill>
        </w:rPr>
        <w:t xml:space="preserve">》，经站长批准后，由质量负责人向投诉方通报处理结果并征求意见，求得投诉方的谅解。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投诉的处理应具有时效性，应做到在最短时间内得到严肃、认真的处理，确因检验检测结果有问题而给客户造成不良影响或损失时，质量负责人应向站长报告，并与客户协商妥善处置理，必要时报最高管理者。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投诉单位对复检结果仍有异议的，可向上级管理部门申请处理或进行仲裁。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异议申请无论其结果如何，一般都应在一个月内答复完毕。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w:t>
      </w:r>
      <w:r>
        <w:rPr>
          <w:b/>
          <w:color w:val="000000" w:themeColor="text1"/>
          <w14:textFill>
            <w14:solidFill>
              <w14:schemeClr w14:val="tx1"/>
            </w14:solidFill>
          </w14:textFill>
        </w:rPr>
        <w:t xml:space="preserve">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质量负责人负责收集、归档客户投诉及相关的整改资料，提交管理评审，作为管理体系改进的输入项。</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"https://pqsuhhq8yu6.feishu.cn/wiki/Dr7fwAaWMivVRdkdcnvcieS0nTd" \h </w:instrText>
      </w:r>
      <w:r>
        <w:fldChar w:fldCharType="separate"/>
      </w:r>
      <w:r>
        <w:rPr>
          <w:color w:val="000000" w:themeColor="text1"/>
          <w14:textFill>
            <w14:solidFill>
              <w14:schemeClr w14:val="tx1"/>
            </w14:solidFill>
          </w14:textFill>
        </w:rPr>
        <w:t xml:space="preserve">ZJZ/JL 15-1 </w:t>
      </w:r>
      <w:bookmarkStart w:id="36" w:name="_Toc202949684"/>
      <w:r>
        <w:rPr>
          <w:rFonts w:cs="Times New Roman"/>
          <w:color w:val="000000"/>
        </w:rPr>
        <w:t xml:space="preserve">顾客满意度调查/投诉信息处理登记表</w:t>
      </w:r>
      <w:bookmarkEnd w:id="36"/>
      <w:r>
        <w:rPr>
          <w:rFonts w:cs="Times New Roman"/>
          <w:color w:val="000000"/>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7" w:name="_Toc24569"/>
      <w:r>
        <w:rPr>
          <w:color w:val="000000" w:themeColor="text1"/>
          <w14:textFill>
            <w14:solidFill>
              <w14:schemeClr w14:val="tx1"/>
            </w14:solidFill>
          </w14:textFill>
        </w:rPr>
        <w:t xml:space="preserve">ZJZ/CX-16 不符合工作控制程序</w:t>
      </w:r>
      <w:bookmarkEnd w:id="37"/>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及时对检验检测工作中出现的不符合项进行识别和控制，以保证检验检测工作质量。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适用于对不符合管理体系要求和技术要求的检验检测活动， 以及有差错检验检测报告的控制。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质量负责人：负责批准不符合检验检测工作总体控制，负责对质量管理方面出现的不符合项评价并作出处理决定；负责组织跟踪验证不符合工作的纠正措施的有效性。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技术负责人：负责对技术运作方面出现的不符合项评价并作出处理决定。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内审员：对内部管理评审中出现的不符合工作进行识别，并跟踪不符合工作的处理结果。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质量监督员：对质量监督工作中出现的不符合工作进行识别，并跟踪不符合工作的处理结果。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授权签字人/报告审核人：负责检验检测报告的质量控制，在报告审核过程中的不符合工作识别，并跟踪不符合工作的处理结果。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3.6 实验室室主任：负责日常生产运行中对本实验室管理或技术活动中的不符合项识别，并视其严重性向技术负责人和质量负责人报告，提出并组织实施纠正活动或纠正措施，并有权中止检测和管理体系的活动。负责对本实验室不符合工作整改的跟踪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3.7 检验检测人员：负责本岗位不符合工作的整改。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3.8 所有人员：有责任和义务向质量负责人报告任何不符合工作和差错，提出纠正和纠正措施建议。</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不符合工作的识别</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不符合工作的识别可在管理体系和技术运作的各个环节进行，例如客户投诉、质量控制、仪器设备校准和期间核查、消耗材料的核查、质量监督、检验检测报告审核签发、内审和外审、管理评审等。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检验检测人员按照管理体系文件要求开展检验检测工作。质量监督员执行</w:t>
      </w:r>
      <w:r>
        <w:fldChar w:fldCharType="begin"/>
      </w:r>
      <w:r>
        <w:instrText xml:space="preserve"> HYPERLINK "https://pqsuhhq8yu6.feishu.cn/wiki/Zgr6w5hjkiKf73kMDRmcJibrnWe" \h </w:instrText>
      </w:r>
      <w:r>
        <w:fldChar w:fldCharType="separate"/>
      </w:r>
      <w:r>
        <w:rPr>
          <w:color w:val="000000" w:themeColor="text1"/>
          <w14:textFill>
            <w14:solidFill>
              <w14:schemeClr w14:val="tx1"/>
            </w14:solidFill>
          </w14:textFill>
        </w:rPr>
        <w:t xml:space="preserve">ZJZ/CX-27 质量控制程序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，对检验检测人员进行监督， 在人员技能、设备、方法、样品处置和环境条件等方面进行核查，发现问题及时记录，并报质量负责人或技术负责人进行相关评价、处置。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实验室室主任根据日常生产运行情况，识别出质量风险点开展质量监督，在人员技能、设备、方法、样品处置和环境条件等方面进行核查，发现问题及时记录，并报质量负责人或技术负责人进行相关评价、处置。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授权签字人/报告审核人通过对检验检测报告的格式、内容、所含信息量和结果表示等进行审核，发现有不符合要求的检验检测报告及时记录，并反馈到质量负责人或技术负责人进行相关评价、处置。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质量负责人依据不符合项的严重程度结合各室反映的情况，以及客户投诉等进行分析，提出是否增加内部审核的频次，或进行附加审核建议，报最高管理者批准后实施。质量负责人组织内审员对管理体系运行情况进行审核， 对审核中发现的不符合项进行记录，具体程序执行</w:t>
      </w:r>
      <w:r>
        <w:fldChar w:fldCharType="begin"/>
      </w:r>
      <w:r>
        <w:instrText xml:space="preserve"> HYPERLINK "https://pqsuhhq8yu6.feishu.cn/wiki/NSelwAhqwivyPPkjdvicLmeVnnb" \h </w:instrText>
      </w:r>
      <w:r>
        <w:fldChar w:fldCharType="separate"/>
      </w:r>
      <w:r>
        <w:rPr>
          <w:color w:val="000000" w:themeColor="text1"/>
          <w14:textFill>
            <w14:solidFill>
              <w14:schemeClr w14:val="tx1"/>
            </w14:solidFill>
          </w14:textFill>
        </w:rPr>
        <w:t xml:space="preserve">19.内部审核程序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不符合工作的评价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质量负责人或技术负责人对所有发现的不符合工作进行严重性评价。</w:t>
      </w:r>
      <w:r>
        <w:rPr>
          <w:color w:val="000000" w:themeColor="text1"/>
          <w14:textFill>
            <w14:solidFill>
              <w14:schemeClr w14:val="tx1"/>
            </w14:solidFill>
          </w14:textFill>
        </w:rPr>
      </w:r>
    </w:p>
    <w:p>
      <w:pPr>
        <w:pStyle w:val="1996"/>
        <w:numPr>
          <w:ilvl w:val="0"/>
          <w:numId w:val="17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一般不符合：个别或少量偏离文件规定、对体系运行的有效性或检测结果未产生重要或直接影响的不符合。当发生一般不符合需指定相关人员立即进行纠正或采取纠正措施，并跟踪验证，由质量负责人批准。</w:t>
      </w:r>
      <w:r>
        <w:rPr>
          <w:color w:val="000000" w:themeColor="text1"/>
          <w14:textFill>
            <w14:solidFill>
              <w14:schemeClr w14:val="tx1"/>
            </w14:solidFill>
          </w14:textFill>
        </w:rPr>
      </w:r>
    </w:p>
    <w:p>
      <w:pPr>
        <w:pStyle w:val="1996"/>
        <w:numPr>
          <w:ilvl w:val="0"/>
          <w:numId w:val="17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严重不符合：对检测结果质量有直接、重要影响或对管理体系的运行有效性有直接、严重影响的不符合；当发生严重不符合需要暂停检测工作、扣发检验/检测报告，通知客户并召回。</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凡检验检测报告中出现不符合项均定为不合格检验检测报告，每年对不合格检验检测报告进行统计，计算不合格率，作为质量目标完成情况在管理评审上报告。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不符合工作的处置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针对轻微的一般不符合并能现场立即纠正的工作，由质量负责人/技术负责人通知责任部门或相关人员进行现场纠正，检验检测工作正常开展。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针对一般不符合，由属地实验室主任组织有关人员对产生不符合项的原因进行分析， 提出纠正措施。执行</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，填写</w:t>
      </w:r>
      <w:r>
        <w:fldChar w:fldCharType="begin"/>
      </w:r>
      <w:r>
        <w:instrText xml:space="preserve"> HYPERLINK "https://pqsuhhq8yu6.feishu.cn/wiki/TUzBw5i55iAM99kVrYJcocIrnAe" \h </w:instrText>
      </w:r>
      <w:r>
        <w:fldChar w:fldCharType="separate"/>
      </w:r>
      <w:r>
        <w:rPr>
          <w:color w:val="000000" w:themeColor="text1"/>
          <w14:textFill>
            <w14:solidFill>
              <w14:schemeClr w14:val="tx1"/>
            </w14:solidFill>
          </w14:textFill>
        </w:rPr>
        <w:t xml:space="preserve">ZJZ/JL17-1纠正措施及验证记录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严重不符合项工作， 则由质量负责人或技术负责人通知责任部门采取标识、隔离、立即停止工作等措施，并组织责任部门有关人员对产生不符合项的原因进行分析，提出纠正措施。执行</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，填写</w:t>
      </w:r>
      <w:r>
        <w:fldChar w:fldCharType="begin"/>
      </w:r>
      <w:r>
        <w:instrText xml:space="preserve"> HYPERLINK "https://pqsuhhq8yu6.feishu.cn/wiki/TUzBw5i55iAM99kVrYJcocIrnAe" \h </w:instrText>
      </w:r>
      <w:r>
        <w:fldChar w:fldCharType="separate"/>
      </w:r>
      <w:r>
        <w:rPr>
          <w:color w:val="000000" w:themeColor="text1"/>
          <w14:textFill>
            <w14:solidFill>
              <w14:schemeClr w14:val="tx1"/>
            </w14:solidFill>
          </w14:textFill>
        </w:rPr>
        <w:t xml:space="preserve">ZJZ/JL17-1纠正措施及验证记录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出现不合格检验检测报告情况，由授权签字人扣发报告，由检验检测报告审核人核查原始记录，属打印/编辑性错误的，立即通知纠正；属其他原因引发的不符合要求的， 按 4.3.2 条款处置。如果不符合检验检测报告已发出，则由综合管理室资料管理岗负责收回，并重新发放符合要求的检验检测报告。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对于由于不符合检验检测工作而停止的检验检测工作， 经确认已实施有效的纠正措施后，由质量负责人或技术负责人批准恢复检验检测工作。如涉及到需对管理体系文件的修改，执行</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w:t>
      </w:r>
      <w:r>
        <w:rPr>
          <w:b/>
          <w:color w:val="000000" w:themeColor="text1"/>
          <w14:textFill>
            <w14:solidFill>
              <w14:schemeClr w14:val="tx1"/>
            </w14:solidFill>
          </w14:textFill>
        </w:rPr>
        <w:t xml:space="preserve">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质量监督员或内审员或实验室室主任负责对纠正措施的实施结果进行跟踪验证，证实所采用的纠正措施已消除了产生不符合工作的所有因素。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若所采用的纠正措施消除不了产生不符合工作的因素， 则通知客户本站暂不具备开展该项检验检测工作的能力，取消该项检验检测工作。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内部审核中不符合项的评价、处置和跟踪验证，执行</w:t>
      </w:r>
      <w:r>
        <w:fldChar w:fldCharType="begin"/>
      </w:r>
      <w:r>
        <w:instrText xml:space="preserve"> HYPERLINK "https://pqsuhhq8yu6.feishu.cn/wiki/NSelwAhqwivyPPkjdvicLmeVnnb" \h </w:instrText>
      </w:r>
      <w:r>
        <w:fldChar w:fldCharType="separate"/>
      </w:r>
      <w:r>
        <w:rPr>
          <w:color w:val="000000" w:themeColor="text1"/>
          <w14:textFill>
            <w14:solidFill>
              <w14:schemeClr w14:val="tx1"/>
            </w14:solidFill>
          </w14:textFill>
        </w:rPr>
        <w:t xml:space="preserve">ZJZ/CX-19 内部审核程序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不符合工作控制过程中形成的记录交资料管理员存档。</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"https://pqsuhhq8yu6.feishu.cn/wiki/NSelwAhqwivyPPkjdvicLmeVnnb" \h </w:instrText>
      </w:r>
      <w:r>
        <w:fldChar w:fldCharType="separate"/>
      </w:r>
      <w:r>
        <w:rPr>
          <w:color w:val="000000" w:themeColor="text1"/>
          <w14:textFill>
            <w14:solidFill>
              <w14:schemeClr w14:val="tx1"/>
            </w14:solidFill>
          </w14:textFill>
        </w:rPr>
        <w:t xml:space="preserve">ZJZ/CX-19 内部审核程序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"https://pqsuhhq8yu6.feishu.cn/wiki/Zgr6w5hjkiKf73kMDRmcJibrnWe" \h </w:instrText>
      </w:r>
      <w:r>
        <w:fldChar w:fldCharType="separate"/>
      </w:r>
      <w:r>
        <w:rPr>
          <w:color w:val="000000" w:themeColor="text1"/>
          <w14:textFill>
            <w14:solidFill>
              <w14:schemeClr w14:val="tx1"/>
            </w14:solidFill>
          </w14:textFill>
        </w:rPr>
        <w:t xml:space="preserve">ZJZ/CX-27 质量控制程序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"https://pqsuhhq8yu6.feishu.cn/wiki/TUzBw5i55iAM99kVrYJcocIrnAe" \h </w:instrText>
      </w:r>
      <w:r>
        <w:fldChar w:fldCharType="separate"/>
      </w:r>
      <w:r>
        <w:rPr>
          <w:color w:val="000000" w:themeColor="text1"/>
          <w14:textFill>
            <w14:solidFill>
              <w14:schemeClr w14:val="tx1"/>
            </w14:solidFill>
          </w14:textFill>
        </w:rPr>
        <w:t xml:space="preserve">ZJZ/JL17-1纠正措施及验证记录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8" w:name="_Toc24224"/>
      <w:r>
        <w:rPr>
          <w:color w:val="000000" w:themeColor="text1"/>
          <w14:textFill>
            <w14:solidFill>
              <w14:schemeClr w14:val="tx1"/>
            </w14:solidFill>
          </w14:textFill>
        </w:rPr>
        <w:t xml:space="preserve">ZJZ/CX-17 纠正措施程序</w:t>
      </w:r>
      <w:bookmarkEnd w:id="38"/>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为消除已发生的不符合工作或其它不期望情况的原因， 防止不符合工作的再度发生， 实现管理体系的持续改进。</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适用于本站管理体系或技术运作活动中纠正措施的制定、实施和验证。</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技术负责人：负责技术运作活动中不符合工作纠正措施的批准。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质量负责人：负责质量管理活动中不符合工作纠正措施的批准。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实验室室主任：负责本实验室发生的不符合工作的原因分析和纠正措施计划的编制和组织实施。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质量监督员：负责对纠正措施的跟踪验证。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检验检测人员：参与问题原因分析，提出纠正措施，负责批准后纠正措施的具体实施。</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不符合工作的来源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本站建立</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，对不符合工作的识别进行了规定，主要来源于以下常见的质量管理和技术活动中的各个环节：</w:t>
      </w:r>
      <w:r>
        <w:rPr>
          <w:color w:val="000000" w:themeColor="text1"/>
          <w14:textFill>
            <w14:solidFill>
              <w14:schemeClr w14:val="tx1"/>
            </w14:solidFill>
          </w14:textFill>
        </w:rPr>
      </w:r>
    </w:p>
    <w:p>
      <w:pPr>
        <w:pStyle w:val="1996"/>
        <w:numPr>
          <w:ilvl w:val="0"/>
          <w:numId w:val="17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内部质量体系审核报告。</w:t>
      </w:r>
      <w:r>
        <w:rPr>
          <w:color w:val="000000" w:themeColor="text1"/>
          <w14:textFill>
            <w14:solidFill>
              <w14:schemeClr w14:val="tx1"/>
            </w14:solidFill>
          </w14:textFill>
        </w:rPr>
      </w:r>
    </w:p>
    <w:p>
      <w:pPr>
        <w:pStyle w:val="1996"/>
        <w:numPr>
          <w:ilvl w:val="0"/>
          <w:numId w:val="17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管理评审报告。</w:t>
      </w:r>
      <w:r>
        <w:rPr>
          <w:color w:val="000000" w:themeColor="text1"/>
          <w14:textFill>
            <w14:solidFill>
              <w14:schemeClr w14:val="tx1"/>
            </w14:solidFill>
          </w14:textFill>
        </w:rPr>
      </w:r>
    </w:p>
    <w:p>
      <w:pPr>
        <w:pStyle w:val="1996"/>
        <w:numPr>
          <w:ilvl w:val="0"/>
          <w:numId w:val="17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外部审核的结果。</w:t>
      </w:r>
      <w:r>
        <w:rPr>
          <w:color w:val="000000" w:themeColor="text1"/>
          <w14:textFill>
            <w14:solidFill>
              <w14:schemeClr w14:val="tx1"/>
            </w14:solidFill>
          </w14:textFill>
        </w:rPr>
      </w:r>
    </w:p>
    <w:p>
      <w:pPr>
        <w:pStyle w:val="1996"/>
        <w:numPr>
          <w:ilvl w:val="0"/>
          <w:numId w:val="17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比对或能力验证结果。</w:t>
      </w:r>
      <w:r>
        <w:rPr>
          <w:color w:val="000000" w:themeColor="text1"/>
          <w14:textFill>
            <w14:solidFill>
              <w14:schemeClr w14:val="tx1"/>
            </w14:solidFill>
          </w14:textFill>
        </w:rPr>
      </w:r>
    </w:p>
    <w:p>
      <w:pPr>
        <w:pStyle w:val="1996"/>
        <w:numPr>
          <w:ilvl w:val="0"/>
          <w:numId w:val="18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客户反馈/投诉信息分析确认存在的不符合消耗材料质量存在问题。</w:t>
      </w:r>
      <w:r>
        <w:rPr>
          <w:color w:val="000000" w:themeColor="text1"/>
          <w14:textFill>
            <w14:solidFill>
              <w14:schemeClr w14:val="tx1"/>
            </w14:solidFill>
          </w14:textFill>
        </w:rPr>
      </w:r>
    </w:p>
    <w:p>
      <w:pPr>
        <w:pStyle w:val="1996"/>
        <w:numPr>
          <w:ilvl w:val="0"/>
          <w:numId w:val="18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检验/检测质量出现重大问题。</w:t>
      </w:r>
      <w:r>
        <w:rPr>
          <w:color w:val="000000" w:themeColor="text1"/>
          <w14:textFill>
            <w14:solidFill>
              <w14:schemeClr w14:val="tx1"/>
            </w14:solidFill>
          </w14:textFill>
        </w:rPr>
      </w:r>
    </w:p>
    <w:p>
      <w:pPr>
        <w:pStyle w:val="1996"/>
        <w:numPr>
          <w:ilvl w:val="0"/>
          <w:numId w:val="18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对人员的监督中发现的不符合。</w:t>
      </w:r>
      <w:r>
        <w:rPr>
          <w:color w:val="000000" w:themeColor="text1"/>
          <w14:textFill>
            <w14:solidFill>
              <w14:schemeClr w14:val="tx1"/>
            </w14:solidFill>
          </w14:textFill>
        </w:rPr>
      </w:r>
    </w:p>
    <w:p>
      <w:pPr>
        <w:pStyle w:val="1996"/>
        <w:numPr>
          <w:ilvl w:val="0"/>
          <w:numId w:val="18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设备的使用。</w:t>
      </w:r>
      <w:r>
        <w:rPr>
          <w:color w:val="000000" w:themeColor="text1"/>
          <w14:textFill>
            <w14:solidFill>
              <w14:schemeClr w14:val="tx1"/>
            </w14:solidFill>
          </w14:textFill>
        </w:rPr>
      </w:r>
    </w:p>
    <w:p>
      <w:pPr>
        <w:pStyle w:val="1996"/>
        <w:numPr>
          <w:ilvl w:val="0"/>
          <w:numId w:val="18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检测环境失控、方法、操作人员的差错。</w:t>
      </w:r>
      <w:r>
        <w:rPr>
          <w:color w:val="000000" w:themeColor="text1"/>
          <w14:textFill>
            <w14:solidFill>
              <w14:schemeClr w14:val="tx1"/>
            </w14:solidFill>
          </w14:textFill>
        </w:rPr>
      </w:r>
    </w:p>
    <w:p>
      <w:pPr>
        <w:pStyle w:val="1996"/>
        <w:numPr>
          <w:ilvl w:val="0"/>
          <w:numId w:val="18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对检验/检测质量控制中发现的不符合。</w:t>
      </w:r>
      <w:r>
        <w:rPr>
          <w:color w:val="000000" w:themeColor="text1"/>
          <w14:textFill>
            <w14:solidFill>
              <w14:schemeClr w14:val="tx1"/>
            </w14:solidFill>
          </w14:textFill>
        </w:rPr>
      </w:r>
    </w:p>
    <w:p>
      <w:pPr>
        <w:pStyle w:val="1996"/>
        <w:numPr>
          <w:ilvl w:val="0"/>
          <w:numId w:val="18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其他不符合质量方针、目标或管理体系文件要求的情况。</w:t>
      </w:r>
      <w:r>
        <w:rPr>
          <w:color w:val="000000" w:themeColor="text1"/>
          <w14:textFill>
            <w14:solidFill>
              <w14:schemeClr w14:val="tx1"/>
            </w14:solidFill>
          </w14:textFill>
        </w:rPr>
      </w:r>
    </w:p>
    <w:p>
      <w:pPr>
        <w:pStyle w:val="1996"/>
        <w:numPr>
          <w:ilvl w:val="0"/>
          <w:numId w:val="18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发生各种事故、事件产生的不符合。</w:t>
      </w:r>
      <w:r>
        <w:rPr>
          <w:color w:val="000000" w:themeColor="text1"/>
          <w14:textFill>
            <w14:solidFill>
              <w14:schemeClr w14:val="tx1"/>
            </w14:solidFill>
          </w14:textFill>
        </w:rPr>
      </w:r>
    </w:p>
    <w:p>
      <w:pPr>
        <w:pStyle w:val="1996"/>
        <w:numPr>
          <w:ilvl w:val="0"/>
          <w:numId w:val="18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法律、法规与其他要求方面的不符合。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当发生以上情况或在内部审核、客户投诉、质量监督、质量控制、员工观察等过程中，发现有可能再度发生不符合项时，由现场识别人或实验室室主任填写</w:t>
      </w:r>
      <w:r>
        <w:fldChar w:fldCharType="begin"/>
      </w:r>
      <w:r>
        <w:instrText xml:space="preserve"> HYPERLINK "https://pqsuhhq8yu6.feishu.cn/wiki/TUzBw5i55iAM99kVrYJcocIrnAe" \h </w:instrText>
      </w:r>
      <w:r>
        <w:fldChar w:fldCharType="separate"/>
      </w:r>
      <w:r>
        <w:rPr>
          <w:color w:val="000000" w:themeColor="text1"/>
          <w14:textFill>
            <w14:solidFill>
              <w14:schemeClr w14:val="tx1"/>
            </w14:solidFill>
          </w14:textFill>
        </w:rPr>
        <w:t xml:space="preserve">ZJZ/JL17-1纠正措施及验证记录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，交实验室室主任或部门相关负责人。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w:t>
      </w:r>
      <w:r>
        <w:rPr>
          <w:b/>
          <w:color w:val="000000" w:themeColor="text1"/>
          <w14:textFill>
            <w14:solidFill>
              <w14:schemeClr w14:val="tx1"/>
            </w14:solidFill>
          </w14:textFill>
        </w:rPr>
        <w:t xml:space="preserve">原因分析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实验室室主任或责任部门负责人组织本室人员调查并分析产生不符合的所有原因， 分析原因可以从包括客户的要求、样品管理、方法和程序、员工技能和培训、消耗品、设备及其校准等， 确定发生不符合的根本原因。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针对比较综合的问题可以使用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五个回归</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溯源分析法，通过识别以下方面是否回归确定出现不符合问题的根本原因。</w:t>
      </w:r>
      <w:r>
        <w:rPr>
          <w:color w:val="000000" w:themeColor="text1"/>
          <w14:textFill>
            <w14:solidFill>
              <w14:schemeClr w14:val="tx1"/>
            </w14:solidFill>
          </w14:textFill>
        </w:rPr>
      </w:r>
    </w:p>
    <w:p>
      <w:pPr>
        <w:pStyle w:val="1996"/>
        <w:numPr>
          <w:ilvl w:val="0"/>
          <w:numId w:val="18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识别</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谁来做</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，查管理职责是否具体明确；</w:t>
      </w:r>
      <w:r>
        <w:rPr>
          <w:color w:val="000000" w:themeColor="text1"/>
          <w14:textFill>
            <w14:solidFill>
              <w14:schemeClr w14:val="tx1"/>
            </w14:solidFill>
          </w14:textFill>
        </w:rPr>
      </w:r>
    </w:p>
    <w:p>
      <w:pPr>
        <w:pStyle w:val="1996"/>
        <w:numPr>
          <w:ilvl w:val="0"/>
          <w:numId w:val="19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识别</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怎么做</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，查制度规程规范是否完整；</w:t>
      </w:r>
      <w:r>
        <w:rPr>
          <w:color w:val="000000" w:themeColor="text1"/>
          <w14:textFill>
            <w14:solidFill>
              <w14:schemeClr w14:val="tx1"/>
            </w14:solidFill>
          </w14:textFill>
        </w:rPr>
      </w:r>
    </w:p>
    <w:p>
      <w:pPr>
        <w:pStyle w:val="1996"/>
        <w:numPr>
          <w:ilvl w:val="0"/>
          <w:numId w:val="19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识别</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会不会做</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，查人员能力是否达到要求；</w:t>
      </w:r>
      <w:r>
        <w:rPr>
          <w:color w:val="000000" w:themeColor="text1"/>
          <w14:textFill>
            <w14:solidFill>
              <w14:schemeClr w14:val="tx1"/>
            </w14:solidFill>
          </w14:textFill>
        </w:rPr>
      </w:r>
    </w:p>
    <w:p>
      <w:pPr>
        <w:pStyle w:val="1996"/>
        <w:numPr>
          <w:ilvl w:val="0"/>
          <w:numId w:val="19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识别</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能不能做</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，查资源配置是否到位充分；</w:t>
      </w:r>
      <w:r>
        <w:rPr>
          <w:color w:val="000000" w:themeColor="text1"/>
          <w14:textFill>
            <w14:solidFill>
              <w14:schemeClr w14:val="tx1"/>
            </w14:solidFill>
          </w14:textFill>
        </w:rPr>
      </w:r>
    </w:p>
    <w:p>
      <w:pPr>
        <w:pStyle w:val="1996"/>
        <w:numPr>
          <w:ilvl w:val="0"/>
          <w:numId w:val="19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识别</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做得如何</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，查检查考核是否及时有效。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实验室室主任或责任部门会同不符合识别人选择最能消除问题和防止问题再次发生的纠正措施。纠正措施应与问题的严重程度和风险大小及实施成本相适应。</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针对技术运作工作中可能再度发生不符合项所制定的纠正措施由技术负责人审批； 针对管理体系活动中可能再度发生的不符合项所制定的纠正措施由质量负责人审批。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纠正措施的实施和验证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实验室室主任或不符合工作责任人负责纠正措施的实施，当纠正措施导致对文件修改时， 应按</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的规定修改文件并经批准后再实施。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不符合工作识别人或实验室室主任负责对采取的纠正措施进行跟踪验证，确保并评价纠正措施的有效性。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当不符合工作导致违反本站质量方针或程序， 或对本站管理体系的运作是否符合资质认定和实验室认可准则产生怀疑时， 在纠正措施实施后由质量负责人按</w:t>
      </w:r>
      <w:r>
        <w:fldChar w:fldCharType="begin"/>
      </w:r>
      <w:r>
        <w:instrText xml:space="preserve"> HYPERLINK "https://pqsuhhq8yu6.feishu.cn/wiki/NSelwAhqwivyPPkjdvicLmeVnnb" \h </w:instrText>
      </w:r>
      <w:r>
        <w:fldChar w:fldCharType="separate"/>
      </w:r>
      <w:r>
        <w:rPr>
          <w:color w:val="000000" w:themeColor="text1"/>
          <w14:textFill>
            <w14:solidFill>
              <w14:schemeClr w14:val="tx1"/>
            </w14:solidFill>
          </w14:textFill>
        </w:rPr>
        <w:t xml:space="preserve">ZJZ/CX-19 内部审核程序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对涉及的要素和部门实施计划外的附加审核。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实验室室主任/质量监督员应保存不符合项纠正措施实施的相关记录及证明材料，交资料管理员保存。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年度内发生的重要纠正措施记录作为年度管理评审的输入。</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"https://pqsuhhq8yu6.feishu.cn/wiki/NSelwAhqwivyPPkjdvicLmeVnnb" \h </w:instrText>
      </w:r>
      <w:r>
        <w:fldChar w:fldCharType="separate"/>
      </w:r>
      <w:r>
        <w:rPr>
          <w:color w:val="000000" w:themeColor="text1"/>
          <w14:textFill>
            <w14:solidFill>
              <w14:schemeClr w14:val="tx1"/>
            </w14:solidFill>
          </w14:textFill>
        </w:rPr>
        <w:t xml:space="preserve">ZJZ/CX-19 内部审核程序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"https://pqsuhhq8yu6.feishu.cn/wiki/TUzBw5i55iAM99kVrYJcocIrnAe" \h </w:instrText>
      </w:r>
      <w:r>
        <w:fldChar w:fldCharType="separate"/>
      </w:r>
      <w:r>
        <w:rPr>
          <w:color w:val="000000" w:themeColor="text1"/>
          <w14:textFill>
            <w14:solidFill>
              <w14:schemeClr w14:val="tx1"/>
            </w14:solidFill>
          </w14:textFill>
        </w:rPr>
        <w:t xml:space="preserve">ZJZ/JL17-1纠正措施及验证记录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39" w:name="_Toc26149"/>
      <w:r>
        <w:rPr>
          <w:color w:val="000000" w:themeColor="text1"/>
          <w14:textFill>
            <w14:solidFill>
              <w14:schemeClr w14:val="tx1"/>
            </w14:solidFill>
          </w14:textFill>
        </w:rPr>
        <w:t xml:space="preserve">ZJZ/CX-18 记录管理程序</w:t>
      </w:r>
      <w:bookmarkEnd w:id="39"/>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为规范本站各类记录管理，保证质量记录和技术记录能为管理体系运行的有效性提供客观证据，检验检测原始记录能复现检验检测过程。</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适用于本站管理体系运行和检验检测工作中的各种质量记录和技术记录。</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技术负责人：负责技术记录格式的批准。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质量负责人：负责组织质量记录和技术记录的编制和设计，负责质量记录的批准。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实验室室主任：负责本室质量记录和技术记录的编制和设计。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检验检测人员：负责参与本岗位质量记录和技术记录的编制和设计。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资料管理员：负责质量记录和技术记录的存档和管理。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记录的分类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w:t>
      </w:r>
      <w:r>
        <w:rPr>
          <w:b/>
          <w:color w:val="000000" w:themeColor="text1"/>
          <w14:textFill>
            <w14:solidFill>
              <w14:schemeClr w14:val="tx1"/>
            </w14:solidFill>
          </w14:textFill>
        </w:rPr>
        <w:t xml:space="preserve">质量记录是管理体系活动中所形成的记录</w:t>
      </w:r>
      <w:r>
        <w:rPr>
          <w:color w:val="000000" w:themeColor="text1"/>
          <w14:textFill>
            <w14:solidFill>
              <w14:schemeClr w14:val="tx1"/>
            </w14:solidFill>
          </w14:textFill>
        </w:rPr>
        <w:t xml:space="preserve">，包括但不限于以下方面：</w:t>
      </w:r>
      <w:r>
        <w:rPr>
          <w:color w:val="000000" w:themeColor="text1"/>
          <w14:textFill>
            <w14:solidFill>
              <w14:schemeClr w14:val="tx1"/>
            </w14:solidFill>
          </w14:textFill>
        </w:rPr>
      </w:r>
    </w:p>
    <w:p>
      <w:pPr>
        <w:pStyle w:val="1996"/>
        <w:numPr>
          <w:ilvl w:val="0"/>
          <w:numId w:val="19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质量监督记录；</w:t>
      </w:r>
      <w:r>
        <w:rPr>
          <w:color w:val="000000" w:themeColor="text1"/>
          <w14:textFill>
            <w14:solidFill>
              <w14:schemeClr w14:val="tx1"/>
            </w14:solidFill>
          </w14:textFill>
        </w:rPr>
      </w:r>
    </w:p>
    <w:p>
      <w:pPr>
        <w:pStyle w:val="1996"/>
        <w:numPr>
          <w:ilvl w:val="0"/>
          <w:numId w:val="19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内部审核和管理评审记录； </w:t>
      </w:r>
      <w:r>
        <w:rPr>
          <w:color w:val="000000" w:themeColor="text1"/>
          <w14:textFill>
            <w14:solidFill>
              <w14:schemeClr w14:val="tx1"/>
            </w14:solidFill>
          </w14:textFill>
        </w:rPr>
      </w:r>
    </w:p>
    <w:p>
      <w:pPr>
        <w:pStyle w:val="1996"/>
        <w:numPr>
          <w:ilvl w:val="0"/>
          <w:numId w:val="19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纠正和预防措施记录； </w:t>
      </w:r>
      <w:r>
        <w:rPr>
          <w:color w:val="000000" w:themeColor="text1"/>
          <w14:textFill>
            <w14:solidFill>
              <w14:schemeClr w14:val="tx1"/>
            </w14:solidFill>
          </w14:textFill>
        </w:rPr>
      </w:r>
    </w:p>
    <w:p>
      <w:pPr>
        <w:pStyle w:val="1996"/>
        <w:numPr>
          <w:ilvl w:val="0"/>
          <w:numId w:val="19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投诉处理记录； </w:t>
      </w:r>
      <w:r>
        <w:rPr>
          <w:color w:val="000000" w:themeColor="text1"/>
          <w14:textFill>
            <w14:solidFill>
              <w14:schemeClr w14:val="tx1"/>
            </w14:solidFill>
          </w14:textFill>
        </w:rPr>
      </w:r>
    </w:p>
    <w:p>
      <w:pPr>
        <w:pStyle w:val="1996"/>
        <w:numPr>
          <w:ilvl w:val="0"/>
          <w:numId w:val="19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管理体系文件控制记录； </w:t>
      </w:r>
      <w:r>
        <w:rPr>
          <w:color w:val="000000" w:themeColor="text1"/>
          <w14:textFill>
            <w14:solidFill>
              <w14:schemeClr w14:val="tx1"/>
            </w14:solidFill>
          </w14:textFill>
        </w:rPr>
      </w:r>
    </w:p>
    <w:p>
      <w:pPr>
        <w:pStyle w:val="1996"/>
        <w:numPr>
          <w:ilvl w:val="0"/>
          <w:numId w:val="19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服务和供应商记录； </w:t>
      </w:r>
      <w:r>
        <w:rPr>
          <w:color w:val="000000" w:themeColor="text1"/>
          <w14:textFill>
            <w14:solidFill>
              <w14:schemeClr w14:val="tx1"/>
            </w14:solidFill>
          </w14:textFill>
        </w:rPr>
      </w:r>
    </w:p>
    <w:p>
      <w:pPr>
        <w:pStyle w:val="1996"/>
        <w:numPr>
          <w:ilvl w:val="0"/>
          <w:numId w:val="20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合同评审记录； </w:t>
      </w:r>
      <w:r>
        <w:rPr>
          <w:color w:val="000000" w:themeColor="text1"/>
          <w14:textFill>
            <w14:solidFill>
              <w14:schemeClr w14:val="tx1"/>
            </w14:solidFill>
          </w14:textFill>
        </w:rPr>
      </w:r>
    </w:p>
    <w:p>
      <w:pPr>
        <w:pStyle w:val="1996"/>
        <w:numPr>
          <w:ilvl w:val="0"/>
          <w:numId w:val="20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分包记录； </w:t>
      </w:r>
      <w:r>
        <w:rPr>
          <w:color w:val="000000" w:themeColor="text1"/>
          <w14:textFill>
            <w14:solidFill>
              <w14:schemeClr w14:val="tx1"/>
            </w14:solidFill>
          </w14:textFill>
        </w:rPr>
      </w:r>
    </w:p>
    <w:p>
      <w:pPr>
        <w:pStyle w:val="1996"/>
        <w:numPr>
          <w:ilvl w:val="0"/>
          <w:numId w:val="20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质量控制及其评审记录； </w:t>
      </w:r>
      <w:r>
        <w:rPr>
          <w:color w:val="000000" w:themeColor="text1"/>
          <w14:textFill>
            <w14:solidFill>
              <w14:schemeClr w14:val="tx1"/>
            </w14:solidFill>
          </w14:textFill>
        </w:rPr>
      </w:r>
    </w:p>
    <w:p>
      <w:pPr>
        <w:pStyle w:val="1996"/>
        <w:numPr>
          <w:ilvl w:val="0"/>
          <w:numId w:val="20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仪器设备使用、维护、运行检查和自校记录； </w:t>
      </w:r>
      <w:r>
        <w:rPr>
          <w:color w:val="000000" w:themeColor="text1"/>
          <w14:textFill>
            <w14:solidFill>
              <w14:schemeClr w14:val="tx1"/>
            </w14:solidFill>
          </w14:textFill>
        </w:rPr>
      </w:r>
    </w:p>
    <w:p>
      <w:pPr>
        <w:pStyle w:val="1996"/>
        <w:numPr>
          <w:ilvl w:val="0"/>
          <w:numId w:val="20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人员培训和考核记录。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w:t>
      </w:r>
      <w:r>
        <w:rPr>
          <w:b/>
          <w:color w:val="000000" w:themeColor="text1"/>
          <w14:textFill>
            <w14:solidFill>
              <w14:schemeClr w14:val="tx1"/>
            </w14:solidFill>
          </w14:textFill>
        </w:rPr>
        <w:t xml:space="preserve">技术记录是指技术运作过程中产生的记录</w:t>
      </w:r>
      <w:r>
        <w:rPr>
          <w:color w:val="000000" w:themeColor="text1"/>
          <w14:textFill>
            <w14:solidFill>
              <w14:schemeClr w14:val="tx1"/>
            </w14:solidFill>
          </w14:textFill>
        </w:rPr>
        <w:t xml:space="preserve">，包括但不限于以下方面：</w:t>
      </w:r>
      <w:r>
        <w:rPr>
          <w:color w:val="000000" w:themeColor="text1"/>
          <w14:textFill>
            <w14:solidFill>
              <w14:schemeClr w14:val="tx1"/>
            </w14:solidFill>
          </w14:textFill>
        </w:rPr>
      </w:r>
    </w:p>
    <w:p>
      <w:pPr>
        <w:pStyle w:val="1996"/>
        <w:numPr>
          <w:ilvl w:val="0"/>
          <w:numId w:val="20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方法确认、方法验证记录； </w:t>
      </w:r>
      <w:r>
        <w:rPr>
          <w:color w:val="000000" w:themeColor="text1"/>
          <w14:textFill>
            <w14:solidFill>
              <w14:schemeClr w14:val="tx1"/>
            </w14:solidFill>
          </w14:textFill>
        </w:rPr>
      </w:r>
    </w:p>
    <w:p>
      <w:pPr>
        <w:pStyle w:val="1996"/>
        <w:numPr>
          <w:ilvl w:val="0"/>
          <w:numId w:val="20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新项目评审记录；</w:t>
      </w:r>
      <w:r>
        <w:rPr>
          <w:color w:val="000000" w:themeColor="text1"/>
          <w14:textFill>
            <w14:solidFill>
              <w14:schemeClr w14:val="tx1"/>
            </w14:solidFill>
          </w14:textFill>
        </w:rPr>
      </w:r>
    </w:p>
    <w:p>
      <w:pPr>
        <w:pStyle w:val="1996"/>
        <w:numPr>
          <w:ilvl w:val="0"/>
          <w:numId w:val="20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各类检验检测原始记录(包括采样记录)； </w:t>
      </w:r>
      <w:r>
        <w:rPr>
          <w:color w:val="000000" w:themeColor="text1"/>
          <w14:textFill>
            <w14:solidFill>
              <w14:schemeClr w14:val="tx1"/>
            </w14:solidFill>
          </w14:textFill>
        </w:rPr>
      </w:r>
    </w:p>
    <w:p>
      <w:pPr>
        <w:pStyle w:val="1996"/>
        <w:numPr>
          <w:ilvl w:val="0"/>
          <w:numId w:val="20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实验室间比对或能力验证记录。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以上质量记录和技术记录可以采用纸质或电子形式。电子形式以实验分析管理系统里的记录为准。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记录的要求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记录格式的设计要遵循</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信息简洁足够、可溯源复现</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的原则，应准确全面反映出质量管理活动或技术运作活动。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每种记录格式应该具有唯一性名称和文件编号，编号规则执行</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，名称应该与记录的实际内容和任务相关，以便识别每种记录使用的对象和任务，防止表格误用。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记录应使用钢笔或签字笔填写，要求字迹端正、清晰。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应在各类活动中及时、真实填写原始记录，不得凭追忆事后补填或抄填。</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检验检测原始记录应完整地记录标准方法、规范中规定的信息， 包括检验检测条件、检验检测过程、计算公式、数据处理、检验检测结果、质控记录以及影响不确定度的各种因素，确保检验检测过程的可复现性。记录中还应包括检验检测人员和校核人员的签名。对于记录表式中无内容可填的空白栏，应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标记。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检验检测原始记录不得涂改。当记录中出现错误时，应在错误的数据上划一横线(不得覆盖原有记录的可见程度)，并将正确值填写在其右上方。对所有的改动应有更改人签名或盖章。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对于检验检测过程中的异常情况和有必要说明的问题，应记录在备注栏内。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4.2.8 保存在计算机和自动化仪器设备中的数据管理执行</w:t>
      </w:r>
      <w:r>
        <w:fldChar w:fldCharType="begin"/>
      </w:r>
      <w:r>
        <w:instrText xml:space="preserve"> HYPERLINK "https://pqsuhhq8yu6.feishu.cn/wiki/AoO0wHlvxi0cVUk3qVecjfz1nVh" \h </w:instrText>
      </w:r>
      <w:r>
        <w:fldChar w:fldCharType="separate"/>
      </w:r>
      <w:r>
        <w:rPr>
          <w:color w:val="000000" w:themeColor="text1"/>
          <w14:textFill>
            <w14:solidFill>
              <w14:schemeClr w14:val="tx1"/>
            </w14:solidFill>
          </w14:textFill>
        </w:rPr>
        <w:t xml:space="preserve">24.数据和信息管理程序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检验检测原始记录数据，记录测量数据时，检测数据的有效位数应与技术标准准确度要求相符，数值修约规则按GB/T 8170执行，只保留一位可疑数字。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4.2.10 检验检测人员应根据标准方法、规范要求对原始记录作必要的数据处理，记录应由填写人（检测人）、审核人或批准人在相应位置签名。</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4.2.11 检验检测报告结果执行</w:t>
      </w:r>
      <w:r>
        <w:fldChar w:fldCharType="begin"/>
      </w:r>
      <w:r>
        <w:instrText xml:space="preserve"> HYPERLINK "https://pqsuhhq8yu6.feishu.cn/wiki/FZbrwITmri4M2nk2qTRcWnsJn1d" \h </w:instrText>
      </w:r>
      <w:r>
        <w:fldChar w:fldCharType="separate"/>
      </w:r>
      <w:r>
        <w:rPr>
          <w:color w:val="000000" w:themeColor="text1"/>
          <w14:textFill>
            <w14:solidFill>
              <w14:schemeClr w14:val="tx1"/>
            </w14:solidFill>
          </w14:textFill>
        </w:rPr>
        <w:t xml:space="preserve">29.结果报告管理程序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记录的收集、保存、借阅和销毁管理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本站编制《质量记录汇编》和《技术记录汇编》，按照</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对其管理。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人员和仪器设备档案、 检验检测能力档案、分包实验室档案， 本站法律地位及组织机构的文件， 最高管理者、质量负责人、技术负责人任命文件， 本站质量监督员、内审员、授权签字人聘任文件， 本站历次发布的质量手册、程序文件、操作规程、实施细则等文件都应长期保存。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各种记录由综合管理室资料管理岗进行分类、归档保存，记录应有标识、名称、归档日期、保存日期等。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存储在电子媒体中的记录应采取备份和日志记录措施，避免原始信息或数据的丢失或改动。除执行本程序外，还应执行</w:t>
      </w:r>
      <w:r>
        <w:fldChar w:fldCharType="begin"/>
      </w:r>
      <w:r>
        <w:instrText xml:space="preserve"> HYPERLINK "https://pqsuhhq8yu6.feishu.cn/wiki/AoO0wHlvxi0cVUk3qVecjfz1nVh" \h </w:instrText>
      </w:r>
      <w:r>
        <w:fldChar w:fldCharType="separate"/>
      </w:r>
      <w:r>
        <w:rPr>
          <w:color w:val="000000" w:themeColor="text1"/>
          <w14:textFill>
            <w14:solidFill>
              <w14:schemeClr w14:val="tx1"/>
            </w14:solidFill>
          </w14:textFill>
        </w:rPr>
        <w:t xml:space="preserve">ZJZ/CX-24 数据和信息管理程序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对于收集的各种记录，资料管理员应及时登记存档记录，填写</w:t>
      </w:r>
      <w:r>
        <w:fldChar w:fldCharType="begin"/>
      </w:r>
      <w:r>
        <w:instrText xml:space="preserve"> HYPERLINK "https://pqsuhhq8yu6.feishu.cn/wiki/U7YiwxkxCiuBoQkQAG2cS7Tvn0c" \h </w:instrText>
      </w:r>
      <w:r>
        <w:fldChar w:fldCharType="separate"/>
      </w:r>
      <w:r>
        <w:rPr>
          <w:color w:val="000000" w:themeColor="text1"/>
          <w14:textFill>
            <w14:solidFill>
              <w14:schemeClr w14:val="tx1"/>
            </w14:solidFill>
          </w14:textFill>
        </w:rPr>
        <w:t xml:space="preserve">ZJZ/JL10-1收文登记表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，以方便检索查阅。可对外公布的信息，可将其放置在实验分析管理系统中，便于客户检索查询或授权查询。</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4.3.6 质量记录和记录记录保存期为6年，环境监测室的质量记录和技术记录永久保存。当国家法律法规或由上级部门对文件的管理要求为长期保存的，执行国家法律法规或上级部门要求。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4.3.7 存放记录的场所应干燥整洁，具有防盗、防火设施，室内严禁吸烟或存放易燃易爆物品，外来人员未经许可不得进入。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4.3.8 因工作需要借阅记录和复制记录须填写</w:t>
      </w:r>
      <w:r>
        <w:fldChar w:fldCharType="begin"/>
      </w:r>
      <w:r>
        <w:instrText xml:space="preserve"> HYPERLINK "https://pqsuhhq8yu6.feishu.cn/wiki/RjWawp9aziyBghkAs2FcxHDjnlg" \h </w:instrText>
      </w:r>
      <w:r>
        <w:fldChar w:fldCharType="separate"/>
      </w:r>
      <w:r>
        <w:rPr>
          <w:color w:val="000000" w:themeColor="text1"/>
          <w14:textFill>
            <w14:solidFill>
              <w14:schemeClr w14:val="tx1"/>
            </w14:solidFill>
          </w14:textFill>
        </w:rPr>
        <w:t xml:space="preserve">ZJZ/JL10-5体系文件借阅登记表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，经质量负责人批准后， 由资料管理员进行办理。 借阅人不得泄密和转移借阅，不得在记录上涂改、划线等，阅后及时交还资料管理员。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4.3.9 存放记录的场所或资料室应采取保密措施，无关人员不可随意进入查看记录。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4.3.10 外单位人员一般不得借阅和复制记录，确因需要须经站长或最高管理者批准。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4.3.11 保存的记录如超过保存期，由资料管理员提出销毁申请， 经质量负责人批准后，由资料管理员交油田公司档案馆统一销毁，并填写</w:t>
      </w:r>
      <w:r>
        <w:fldChar w:fldCharType="begin"/>
      </w:r>
      <w:r>
        <w:instrText xml:space="preserve"> HYPERLINK "https://pqsuhhq8yu6.feishu.cn/wiki/R0NYwZHfLivc2LkmqadchBJTnbh" \h </w:instrText>
      </w:r>
      <w:r>
        <w:fldChar w:fldCharType="separate"/>
      </w:r>
      <w:r>
        <w:rPr>
          <w:color w:val="000000" w:themeColor="text1"/>
          <w14:textFill>
            <w14:solidFill>
              <w14:schemeClr w14:val="tx1"/>
            </w14:solidFill>
          </w14:textFill>
        </w:rPr>
        <w:t xml:space="preserve">ZJZ/JL10-4质量体系文件回收、销毁登记表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记录的修改和保持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所有人员使用的记录应确认为最新有效版本，如采用最新发布的记录汇编中的格式。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实验室室主任和综合管理室资料管理岗负责收集各种记录使用过程中存在的问题，必要时对记录的格式进行修改，执行</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"https://pqsuhhq8yu6.feishu.cn/wiki/AoO0wHlvxi0cVUk3qVecjfz1nVh" \h </w:instrText>
      </w:r>
      <w:r>
        <w:fldChar w:fldCharType="separate"/>
      </w:r>
      <w:r>
        <w:rPr>
          <w:color w:val="000000" w:themeColor="text1"/>
          <w14:textFill>
            <w14:solidFill>
              <w14:schemeClr w14:val="tx1"/>
            </w14:solidFill>
          </w14:textFill>
        </w:rPr>
        <w:t xml:space="preserve">ZJZ/CX-24 数据和信息管理程序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"https://pqsuhhq8yu6.feishu.cn/wiki/FZbrwITmri4M2nk2qTRcWnsJn1d" \h </w:instrText>
      </w:r>
      <w:r>
        <w:fldChar w:fldCharType="separate"/>
      </w:r>
      <w:r>
        <w:rPr>
          <w:color w:val="000000" w:themeColor="text1"/>
          <w14:textFill>
            <w14:solidFill>
              <w14:schemeClr w14:val="tx1"/>
            </w14:solidFill>
          </w14:textFill>
        </w:rPr>
        <w:t xml:space="preserve">29.结果报告管理程序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"https://pqsuhhq8yu6.feishu.cn/wiki/U7YiwxkxCiuBoQkQAG2cS7Tvn0c" \h </w:instrText>
      </w:r>
      <w:r>
        <w:fldChar w:fldCharType="separate"/>
      </w:r>
      <w:r>
        <w:rPr>
          <w:color w:val="000000" w:themeColor="text1"/>
          <w14:textFill>
            <w14:solidFill>
              <w14:schemeClr w14:val="tx1"/>
            </w14:solidFill>
          </w14:textFill>
        </w:rPr>
        <w:t xml:space="preserve">ZJZ/JL10-1收文登记表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"https://pqsuhhq8yu6.feishu.cn/wiki/R0NYwZHfLivc2LkmqadchBJTnbh" \h </w:instrText>
      </w:r>
      <w:r>
        <w:fldChar w:fldCharType="separate"/>
      </w:r>
      <w:r>
        <w:rPr>
          <w:color w:val="000000" w:themeColor="text1"/>
          <w14:textFill>
            <w14:solidFill>
              <w14:schemeClr w14:val="tx1"/>
            </w14:solidFill>
          </w14:textFill>
        </w:rPr>
        <w:t xml:space="preserve">ZJZ/JL10-4质量体系文件回收、销毁登记表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"https://pqsuhhq8yu6.feishu.cn/wiki/RjWawp9aziyBghkAs2FcxHDjnlg" \h </w:instrText>
      </w:r>
      <w:r>
        <w:fldChar w:fldCharType="separate"/>
      </w:r>
      <w:r>
        <w:rPr>
          <w:color w:val="000000" w:themeColor="text1"/>
          <w14:textFill>
            <w14:solidFill>
              <w14:schemeClr w14:val="tx1"/>
            </w14:solidFill>
          </w14:textFill>
        </w:rPr>
        <w:t xml:space="preserve">ZJZ/JL 10-5 文件借阅登记表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40" w:name="_Toc13532"/>
      <w:r>
        <w:rPr>
          <w:color w:val="000000" w:themeColor="text1"/>
          <w14:textFill>
            <w14:solidFill>
              <w14:schemeClr w14:val="tx1"/>
            </w14:solidFill>
          </w14:textFill>
        </w:rPr>
        <w:t xml:space="preserve">ZJZ/CX-19 内部审核程序</w:t>
      </w:r>
      <w:bookmarkEnd w:id="40"/>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为了验证本站质量体系运行是否符合资质认定和管理体系的要求，检查管理体系的各项要求是否在工作中得到全面贯彻，改正不符合项，确保体系有效运行和持续改进。</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适用于内部审核的策划、实施、不符合项整改和验证以及内部审核总结等。</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站长/最高管理者：批准年度内部审核计划和内部审核报告。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质量负责人：负责制定年度审核计划、内部审核方案并组织实施，组织编写审核报告；批准内部审核检查表和不符合项报告表。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内审组组长：负责编制内部审核检查表和不符合项报告表。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内审员：根据审核方案开展审核，对不符合项纠正措施实施情况的有效性进行跟踪、验证。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实验室室主任和岗位人员：接受内审组的检查和审核，负责本部门/岗位不符合项的整改。</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内部审核要求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内部审核采用集中审核的方法，内部审核每12个月不少于1次，一般安排在管理评审前；特殊情况下需要增加审核时由质量负责人报请最高管理者批准。当有以下特殊情况时，应追加内部质量审核：</w:t>
      </w:r>
      <w:r>
        <w:rPr>
          <w:color w:val="000000" w:themeColor="text1"/>
          <w14:textFill>
            <w14:solidFill>
              <w14:schemeClr w14:val="tx1"/>
            </w14:solidFill>
          </w14:textFill>
        </w:rPr>
      </w:r>
    </w:p>
    <w:p>
      <w:pPr>
        <w:pStyle w:val="1996"/>
        <w:numPr>
          <w:ilvl w:val="0"/>
          <w:numId w:val="20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发生了严重的质量问题或客户有严重申诉；</w:t>
      </w:r>
      <w:r>
        <w:rPr>
          <w:color w:val="000000" w:themeColor="text1"/>
          <w14:textFill>
            <w14:solidFill>
              <w14:schemeClr w14:val="tx1"/>
            </w14:solidFill>
          </w14:textFill>
        </w:rPr>
      </w:r>
    </w:p>
    <w:p>
      <w:pPr>
        <w:pStyle w:val="1996"/>
        <w:numPr>
          <w:ilvl w:val="0"/>
          <w:numId w:val="21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即将进行第二、三方审核或法律、法规规定的审核；</w:t>
      </w:r>
      <w:r>
        <w:rPr>
          <w:color w:val="000000" w:themeColor="text1"/>
          <w14:textFill>
            <w14:solidFill>
              <w14:schemeClr w14:val="tx1"/>
            </w14:solidFill>
          </w14:textFill>
        </w:rPr>
      </w:r>
    </w:p>
    <w:p>
      <w:pPr>
        <w:pStyle w:val="1996"/>
        <w:numPr>
          <w:ilvl w:val="0"/>
          <w:numId w:val="21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内部监督连续发现质量问题。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每年初质量负责人制定</w:t>
      </w:r>
      <w:r>
        <w:fldChar w:fldCharType="begin"/>
      </w:r>
      <w:r>
        <w:instrText xml:space="preserve"> HYPERLINK "https://pqsuhhq8yu6.feishu.cn/wiki/M5WAw2J3Fi5vvFkqwFxcpppcnlD" \h </w:instrText>
      </w:r>
      <w:r>
        <w:fldChar w:fldCharType="separate"/>
      </w:r>
      <w:r>
        <w:rPr>
          <w:color w:val="000000" w:themeColor="text1"/>
          <w14:textFill>
            <w14:solidFill>
              <w14:schemeClr w14:val="tx1"/>
            </w14:solidFill>
          </w14:textFill>
        </w:rPr>
        <w:t xml:space="preserve">ZJZ/JL 19-1 ****年度内部审核计划</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，审核范围应该覆盖管理体系每一个要素和涉及的每个部门，包括检验检测活动。审核计划报最高管理者批准。质量负责人负责按照年度计划要求落实内审活动。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内审员应具备其所审核的活动充分的技术知识，每年参加内部或外部培训，并专门接受过不少于24课时审核技巧和审核过程方面的培训并考核合格，由质量检测站聘任，内审员应独立于被审核的活动。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内部审核的策划</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内部审核开始前一周，质量负责部门（人）应当召集内审组召开预备会，研究制定</w:t>
      </w:r>
      <w:r>
        <w:fldChar w:fldCharType="begin"/>
      </w:r>
      <w:r>
        <w:instrText xml:space="preserve"> HYPERLINK "https://pqsuhhq8yu6.feishu.cn/wiki/XSZJwybq4ijupEk7NaUc6Hsnnyg" \h </w:instrText>
      </w:r>
      <w:r>
        <w:fldChar w:fldCharType="separate"/>
      </w:r>
      <w:r>
        <w:rPr>
          <w:color w:val="000000" w:themeColor="text1"/>
          <w14:textFill>
            <w14:solidFill>
              <w14:schemeClr w14:val="tx1"/>
            </w14:solidFill>
          </w14:textFill>
        </w:rPr>
        <w:t xml:space="preserve">ZJZ/JL19-1内部审核实施计划</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包括：审核范围、审核准则、审核日程安排、参考文件准备（如认证认可准则及相关应用说明、《质量手册》和《程序文件》、作业指导书和检验检测标准规范等）和审核组成员的名单，制定（确定）内部审核检查表，</w:t>
      </w:r>
      <w:r>
        <w:rPr>
          <w:rFonts w:hint="eastAsia"/>
          <w:color w:val="000000" w:themeColor="text1"/>
          <w14:textFill>
            <w14:solidFill>
              <w14:schemeClr w14:val="tx1"/>
            </w14:solidFill>
          </w14:textFill>
        </w:rPr>
        <w:t xml:space="preserve">站长/最高管理者</w:t>
      </w:r>
      <w:r>
        <w:rPr>
          <w:color w:val="000000" w:themeColor="text1"/>
          <w14:textFill>
            <w14:solidFill>
              <w14:schemeClr w14:val="tx1"/>
            </w14:solidFill>
          </w14:textFill>
        </w:rPr>
        <w:t xml:space="preserve">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质量负责人应对内审员进行分工，除考虑内审员审核应独立于自己所分管的工作外，还应考虑安排有技术经验的内审员审核技术部门。为保证日常检验检测工作与审核工作的顺利进行，审核的时间安排由内审员与受审核方协商确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质量负责人强调内审相关纪律要求，公正要求和其他注意事项。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内部审核前应准备以下文件：</w:t>
      </w:r>
      <w:r>
        <w:rPr>
          <w:color w:val="000000" w:themeColor="text1"/>
          <w14:textFill>
            <w14:solidFill>
              <w14:schemeClr w14:val="tx1"/>
            </w14:solidFill>
          </w14:textFill>
        </w:rPr>
      </w:r>
    </w:p>
    <w:p>
      <w:pPr>
        <w:pStyle w:val="1996"/>
        <w:numPr>
          <w:ilvl w:val="0"/>
          <w:numId w:val="21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相关法律、法规、规章、技术标准方法； </w:t>
      </w:r>
      <w:r>
        <w:rPr>
          <w:color w:val="000000" w:themeColor="text1"/>
          <w14:textFill>
            <w14:solidFill>
              <w14:schemeClr w14:val="tx1"/>
            </w14:solidFill>
          </w14:textFill>
        </w:rPr>
      </w:r>
    </w:p>
    <w:p>
      <w:pPr>
        <w:pStyle w:val="1996"/>
        <w:numPr>
          <w:ilvl w:val="0"/>
          <w:numId w:val="21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认可准则、通用要求、特殊要求； </w:t>
      </w:r>
      <w:r>
        <w:rPr>
          <w:color w:val="000000" w:themeColor="text1"/>
          <w14:textFill>
            <w14:solidFill>
              <w14:schemeClr w14:val="tx1"/>
            </w14:solidFill>
          </w14:textFill>
        </w:rPr>
      </w:r>
    </w:p>
    <w:p>
      <w:pPr>
        <w:pStyle w:val="1996"/>
        <w:numPr>
          <w:ilvl w:val="0"/>
          <w:numId w:val="21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本站《质量手册》、《程序文件》《作业指导书》； </w:t>
      </w:r>
      <w:r>
        <w:rPr>
          <w:color w:val="000000" w:themeColor="text1"/>
          <w14:textFill>
            <w14:solidFill>
              <w14:schemeClr w14:val="tx1"/>
            </w14:solidFill>
          </w14:textFill>
        </w:rPr>
      </w:r>
    </w:p>
    <w:p>
      <w:pPr>
        <w:pStyle w:val="1996"/>
        <w:numPr>
          <w:ilvl w:val="0"/>
          <w:numId w:val="21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各种使用表格：</w:t>
      </w:r>
      <w:r>
        <w:fldChar w:fldCharType="begin"/>
      </w:r>
      <w:r>
        <w:instrText xml:space="preserve"> HYPERLINK "https://pqsuhhq8yu6.feishu.cn/wiki/SVTpw27Y2iqiJwkphI4cLHJinud" \h </w:instrText>
      </w:r>
      <w:r>
        <w:fldChar w:fldCharType="separate"/>
      </w:r>
      <w:r>
        <w:rPr>
          <w:color w:val="000000" w:themeColor="text1"/>
          <w14:textFill>
            <w14:solidFill>
              <w14:schemeClr w14:val="tx1"/>
            </w14:solidFill>
          </w14:textFill>
        </w:rPr>
        <w:t xml:space="preserve">ZJZ/JL19-2内部质量体系审核现场检查表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fldChar w:fldCharType="begin"/>
      </w:r>
      <w:r>
        <w:instrText xml:space="preserve"> HYPERLINK "https://pqsuhhq8yu6.feishu.cn/wiki/YfRPwxwi1iC7bdksrqxcyZyinyI" \h </w:instrText>
      </w:r>
      <w:r>
        <w:fldChar w:fldCharType="separate"/>
      </w:r>
      <w:r>
        <w:rPr>
          <w:color w:val="000000" w:themeColor="text1"/>
          <w14:textFill>
            <w14:solidFill>
              <w14:schemeClr w14:val="tx1"/>
            </w14:solidFill>
          </w14:textFill>
        </w:rPr>
        <w:t xml:space="preserve">ZJZ/JL19-3不符合项报告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内部审核的实施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内部审核实施的关键步骤包括：内审首次会、内审现场审核、末次会议、内审总结报告、后续的纠正措施及关闭。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首次会议由质量负责人主持，参加人员为全体人员。主要介绍审核组成员，确认审核准则，明确审核范围，说明审核程序，解释相关细节，确定时间安排，包括具体时间或日期，以及明确参加末次会议人员，填写</w:t>
      </w:r>
      <w:r>
        <w:fldChar w:fldCharType="begin"/>
      </w:r>
      <w:r>
        <w:instrText xml:space="preserve"> HYPERLINK "https://pqsuhhq8yu6.feishu.cn/wiki/S4zUwI0kIi32phktZrMc8CuwnLe" \h </w:instrText>
      </w:r>
      <w:r>
        <w:fldChar w:fldCharType="separate"/>
      </w:r>
      <w:r>
        <w:rPr>
          <w:color w:val="000000" w:themeColor="text1"/>
          <w14:textFill>
            <w14:solidFill>
              <w14:schemeClr w14:val="tx1"/>
            </w14:solidFill>
          </w14:textFill>
        </w:rPr>
        <w:t xml:space="preserve">ZJZ/JL19-5现场评审首/末次会议签到表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内审组结合《内部审核检查表》进行逐项审核。通过座谈会提问、实验室现场走访、检查设备设施、查阅运行记录等方式，调查、收集客观证据，以检查实际活动与管理体系的符合性。收集的证据应当不存在偏见。内审员以管理体系文件作为参考，将收集到的客观证据对照这些管理体系文件的规定进行比较，对发现的不符合要求的情况应做好记录，并对其进行分析以发现潜在的问题，填写</w:t>
      </w:r>
      <w:r>
        <w:fldChar w:fldCharType="begin"/>
      </w:r>
      <w:r>
        <w:instrText xml:space="preserve"> HYPERLINK "https://pqsuhhq8yu6.feishu.cn/wiki/SVTpw27Y2iqiJwkphI4cLHJinud" \h </w:instrText>
      </w:r>
      <w:r>
        <w:fldChar w:fldCharType="separate"/>
      </w:r>
      <w:r>
        <w:rPr>
          <w:color w:val="000000" w:themeColor="text1"/>
          <w14:textFill>
            <w14:solidFill>
              <w14:schemeClr w14:val="tx1"/>
            </w14:solidFill>
          </w14:textFill>
        </w:rPr>
        <w:t xml:space="preserve">ZJZ/JL19-2内部质量体系审核现场检查表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按照审核日程计划审核完所有的活动后，内审组召开内部会议，认真评价和分析所有的审核发现，确定哪些应报告为不符合项，哪些作为改进建议。不符合项应当依据认可准则、本站《质量手册》和管理体系其他文件来确定，内审员负责依据客观的审核证据编写清晰简明的</w:t>
      </w:r>
      <w:r>
        <w:fldChar w:fldCharType="begin"/>
      </w:r>
      <w:r>
        <w:instrText xml:space="preserve"> HYPERLINK "https://pqsuhhq8yu6.feishu.cn/wiki/YfRPwxwi1iC7bdksrqxcyZyinyI" \h </w:instrText>
      </w:r>
      <w:r>
        <w:fldChar w:fldCharType="separate"/>
      </w:r>
      <w:r>
        <w:rPr>
          <w:color w:val="000000" w:themeColor="text1"/>
          <w14:textFill>
            <w14:solidFill>
              <w14:schemeClr w14:val="tx1"/>
            </w14:solidFill>
          </w14:textFill>
        </w:rPr>
        <w:t xml:space="preserve">ZJZ/JL19-3不符合项报告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，确定本站完成整改时限建议和内审报告表下发时间；商议审核结论内容、向本站提出建议内容。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不符合项和观察项的判定依据：</w:t>
      </w:r>
      <w:r>
        <w:rPr>
          <w:color w:val="000000" w:themeColor="text1"/>
          <w14:textFill>
            <w14:solidFill>
              <w14:schemeClr w14:val="tx1"/>
            </w14:solidFill>
          </w14:textFill>
        </w:rPr>
      </w:r>
    </w:p>
    <w:p>
      <w:pPr>
        <w:pStyle w:val="1996"/>
        <w:numPr>
          <w:ilvl w:val="0"/>
          <w:numId w:val="21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 管理体系文件的判定依据是相关法律法规、资质认定评审准则及相关文件、管理办法等；</w:t>
      </w:r>
      <w:r>
        <w:rPr>
          <w:color w:val="000000" w:themeColor="text1"/>
          <w14:textFill>
            <w14:solidFill>
              <w14:schemeClr w14:val="tx1"/>
            </w14:solidFill>
          </w14:textFill>
        </w:rPr>
      </w:r>
    </w:p>
    <w:p>
      <w:pPr>
        <w:pStyle w:val="1996"/>
        <w:numPr>
          <w:ilvl w:val="0"/>
          <w:numId w:val="21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质量管理体系运行过程、运行记录、人员操作的判定依据是管理体系文件（包括质量手册、程序文件、作业指导书等）、检测标准/方法等。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4.3.6 不符合项报告是审核结论的凭证材料，审核员要用客观、准确、清晰、精练的语言陈述所发现的不符合项事实，并用获得的确切证据来证实不符合准则、质量管理体系要求等内容，不作评论。不符合项报告要有可追溯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4.3.7 对于多个同类型的不符合项，审核组内部会议时，应汇总成一个典型的不符合项。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4.3.8 将内审中出现的问题分为不符合项和基本符合项。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（1）不符合项：影响本站诚信或显著影响技术能力、检验检测结果准确性和可靠性、以及管理体系有效运作的不符合。例如：</w:t>
      </w:r>
      <w:r>
        <w:rPr>
          <w:color w:val="000000" w:themeColor="text1"/>
          <w14:textFill>
            <w14:solidFill>
              <w14:schemeClr w14:val="tx1"/>
            </w14:solidFill>
          </w14:textFill>
        </w:rPr>
      </w:r>
    </w:p>
    <w:p>
      <w:pPr>
        <w:pStyle w:val="1996"/>
        <w:numPr>
          <w:ilvl w:val="0"/>
          <w:numId w:val="21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内审中发现实验室提供的记录不真实或不能提供原始记录；</w:t>
      </w:r>
      <w:r>
        <w:rPr>
          <w:color w:val="000000" w:themeColor="text1"/>
          <w14:textFill>
            <w14:solidFill>
              <w14:schemeClr w14:val="tx1"/>
            </w14:solidFill>
          </w14:textFill>
        </w:rPr>
      </w:r>
    </w:p>
    <w:p>
      <w:pPr>
        <w:pStyle w:val="1996"/>
        <w:numPr>
          <w:ilvl w:val="0"/>
          <w:numId w:val="21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实验室原始记录与报告不符，有篡改数据嫌疑；</w:t>
      </w:r>
      <w:r>
        <w:rPr>
          <w:color w:val="000000" w:themeColor="text1"/>
          <w14:textFill>
            <w14:solidFill>
              <w14:schemeClr w14:val="tx1"/>
            </w14:solidFill>
          </w14:textFill>
        </w:rPr>
      </w:r>
    </w:p>
    <w:p>
      <w:pPr>
        <w:pStyle w:val="1996"/>
        <w:numPr>
          <w:ilvl w:val="0"/>
          <w:numId w:val="22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实验室不做实验直接出报告；</w:t>
      </w:r>
      <w:r>
        <w:rPr>
          <w:color w:val="000000" w:themeColor="text1"/>
          <w14:textFill>
            <w14:solidFill>
              <w14:schemeClr w14:val="tx1"/>
            </w14:solidFill>
          </w14:textFill>
        </w:rPr>
      </w:r>
    </w:p>
    <w:p>
      <w:pPr>
        <w:pStyle w:val="1996"/>
        <w:numPr>
          <w:ilvl w:val="0"/>
          <w:numId w:val="22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实验室在能力验证活动中串通结果，提交的结果与原始记录不符，或不能提供结果的原始记录；</w:t>
      </w:r>
      <w:r>
        <w:rPr>
          <w:color w:val="000000" w:themeColor="text1"/>
          <w14:textFill>
            <w14:solidFill>
              <w14:schemeClr w14:val="tx1"/>
            </w14:solidFill>
          </w14:textFill>
        </w:rPr>
      </w:r>
    </w:p>
    <w:p>
      <w:pPr>
        <w:pStyle w:val="1996"/>
        <w:numPr>
          <w:ilvl w:val="0"/>
          <w:numId w:val="22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人员能力不足以承担资质认定的检验检测活动；</w:t>
      </w:r>
      <w:r>
        <w:rPr>
          <w:color w:val="000000" w:themeColor="text1"/>
          <w14:textFill>
            <w14:solidFill>
              <w14:schemeClr w14:val="tx1"/>
            </w14:solidFill>
          </w14:textFill>
        </w:rPr>
      </w:r>
    </w:p>
    <w:p>
      <w:pPr>
        <w:pStyle w:val="1996"/>
        <w:numPr>
          <w:ilvl w:val="0"/>
          <w:numId w:val="22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实验室没有相应的关键设备或设施；</w:t>
      </w:r>
      <w:r>
        <w:rPr>
          <w:color w:val="000000" w:themeColor="text1"/>
          <w14:textFill>
            <w14:solidFill>
              <w14:schemeClr w14:val="tx1"/>
            </w14:solidFill>
          </w14:textFill>
        </w:rPr>
      </w:r>
    </w:p>
    <w:p>
      <w:pPr>
        <w:pStyle w:val="1996"/>
        <w:numPr>
          <w:ilvl w:val="0"/>
          <w:numId w:val="22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实验室对检验检测活动未实施有效的质量控制；</w:t>
      </w:r>
      <w:r>
        <w:rPr>
          <w:color w:val="000000" w:themeColor="text1"/>
          <w14:textFill>
            <w14:solidFill>
              <w14:schemeClr w14:val="tx1"/>
            </w14:solidFill>
          </w14:textFill>
        </w:rPr>
      </w:r>
    </w:p>
    <w:p>
      <w:pPr>
        <w:pStyle w:val="1996"/>
        <w:numPr>
          <w:ilvl w:val="0"/>
          <w:numId w:val="22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实验室管理体系某些环节失效；</w:t>
      </w:r>
      <w:r>
        <w:rPr>
          <w:color w:val="000000" w:themeColor="text1"/>
          <w14:textFill>
            <w14:solidFill>
              <w14:schemeClr w14:val="tx1"/>
            </w14:solidFill>
          </w14:textFill>
        </w:rPr>
      </w:r>
    </w:p>
    <w:p>
      <w:pPr>
        <w:pStyle w:val="1996"/>
        <w:numPr>
          <w:ilvl w:val="0"/>
          <w:numId w:val="22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实验室故意违反资质认定要求，如超范围使用标识；</w:t>
      </w:r>
      <w:r>
        <w:rPr>
          <w:color w:val="000000" w:themeColor="text1"/>
          <w14:textFill>
            <w14:solidFill>
              <w14:schemeClr w14:val="tx1"/>
            </w14:solidFill>
          </w14:textFill>
        </w:rPr>
      </w:r>
    </w:p>
    <w:p>
      <w:pPr>
        <w:pStyle w:val="1996"/>
        <w:numPr>
          <w:ilvl w:val="0"/>
          <w:numId w:val="22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发生重大变化不及时通知资质认定机构，如法人、组织机构、地址、最高管理者、关键技术人员（技术负责人、授权签字人）等变动。</w:t>
      </w:r>
      <w:r>
        <w:rPr>
          <w:color w:val="000000" w:themeColor="text1"/>
          <w14:textFill>
            <w14:solidFill>
              <w14:schemeClr w14:val="tx1"/>
            </w14:solidFill>
          </w14:textFill>
        </w:rPr>
      </w:r>
    </w:p>
    <w:p>
      <w:pPr>
        <w:pStyle w:val="1996"/>
        <w:numPr>
          <w:ilvl w:val="0"/>
          <w:numId w:val="22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设备未按期检定/校准；</w:t>
      </w:r>
      <w:r>
        <w:rPr>
          <w:color w:val="000000" w:themeColor="text1"/>
          <w14:textFill>
            <w14:solidFill>
              <w14:schemeClr w14:val="tx1"/>
            </w14:solidFill>
          </w14:textFill>
        </w:rPr>
      </w:r>
    </w:p>
    <w:p>
      <w:pPr>
        <w:pStyle w:val="1996"/>
        <w:numPr>
          <w:ilvl w:val="0"/>
          <w:numId w:val="22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试剂或标准物质已过有效期；</w:t>
      </w:r>
      <w:r>
        <w:rPr>
          <w:color w:val="000000" w:themeColor="text1"/>
          <w14:textFill>
            <w14:solidFill>
              <w14:schemeClr w14:val="tx1"/>
            </w14:solidFill>
          </w14:textFill>
        </w:rPr>
      </w:r>
    </w:p>
    <w:p>
      <w:pPr>
        <w:pStyle w:val="1996"/>
        <w:numPr>
          <w:ilvl w:val="0"/>
          <w:numId w:val="23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对内审中发现的不符合项采取的纠正措施未经验证；</w:t>
      </w:r>
      <w:r>
        <w:rPr>
          <w:color w:val="000000" w:themeColor="text1"/>
          <w14:textFill>
            <w14:solidFill>
              <w14:schemeClr w14:val="tx1"/>
            </w14:solidFill>
          </w14:textFill>
        </w:rPr>
      </w:r>
    </w:p>
    <w:p>
      <w:pPr>
        <w:pStyle w:val="1996"/>
        <w:numPr>
          <w:ilvl w:val="0"/>
          <w:numId w:val="23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实验室活动中某些环节操作不当。</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（2）基本符合项：偶发的、独立的对检验检测结果、管理体系有效运作没有严重影响的不符合项。如果基本符合项反复发生，则可能上升为不符合项。例如：</w:t>
      </w:r>
      <w:r>
        <w:rPr>
          <w:color w:val="000000" w:themeColor="text1"/>
          <w14:textFill>
            <w14:solidFill>
              <w14:schemeClr w14:val="tx1"/>
            </w14:solidFill>
          </w14:textFill>
        </w:rPr>
      </w:r>
    </w:p>
    <w:p>
      <w:pPr>
        <w:pStyle w:val="1996"/>
        <w:numPr>
          <w:ilvl w:val="0"/>
          <w:numId w:val="23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设备运行记录、维护保养记录未及时填写；</w:t>
      </w:r>
      <w:r>
        <w:rPr>
          <w:color w:val="000000" w:themeColor="text1"/>
          <w14:textFill>
            <w14:solidFill>
              <w14:schemeClr w14:val="tx1"/>
            </w14:solidFill>
          </w14:textFill>
        </w:rPr>
      </w:r>
    </w:p>
    <w:p>
      <w:pPr>
        <w:pStyle w:val="1996"/>
        <w:numPr>
          <w:ilvl w:val="0"/>
          <w:numId w:val="23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原始记录中不影响最终结果的部分信息不完整，无法再现原有试验过程等；</w:t>
      </w:r>
      <w:r>
        <w:rPr>
          <w:color w:val="000000" w:themeColor="text1"/>
          <w14:textFill>
            <w14:solidFill>
              <w14:schemeClr w14:val="tx1"/>
            </w14:solidFill>
          </w14:textFill>
        </w:rPr>
      </w:r>
    </w:p>
    <w:p>
      <w:pPr>
        <w:pStyle w:val="1996"/>
        <w:numPr>
          <w:ilvl w:val="0"/>
          <w:numId w:val="23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作业指导书、检定/校准证书复印件未放置在现场的；</w:t>
      </w:r>
      <w:r>
        <w:rPr>
          <w:color w:val="000000" w:themeColor="text1"/>
          <w14:textFill>
            <w14:solidFill>
              <w14:schemeClr w14:val="tx1"/>
            </w14:solidFill>
          </w14:textFill>
        </w:rPr>
      </w:r>
    </w:p>
    <w:p>
      <w:pPr>
        <w:pStyle w:val="1996"/>
        <w:numPr>
          <w:ilvl w:val="0"/>
          <w:numId w:val="23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记录填写不规范、不及时；</w:t>
      </w:r>
      <w:r>
        <w:rPr>
          <w:color w:val="000000" w:themeColor="text1"/>
          <w14:textFill>
            <w14:solidFill>
              <w14:schemeClr w14:val="tx1"/>
            </w14:solidFill>
          </w14:textFill>
        </w:rPr>
      </w:r>
    </w:p>
    <w:p>
      <w:pPr>
        <w:pStyle w:val="1996"/>
        <w:numPr>
          <w:ilvl w:val="0"/>
          <w:numId w:val="23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实验间样品状态区域未划分；</w:t>
      </w:r>
      <w:r>
        <w:rPr>
          <w:color w:val="000000" w:themeColor="text1"/>
          <w14:textFill>
            <w14:solidFill>
              <w14:schemeClr w14:val="tx1"/>
            </w14:solidFill>
          </w14:textFill>
        </w:rPr>
      </w:r>
    </w:p>
    <w:p>
      <w:pPr>
        <w:pStyle w:val="1996"/>
        <w:numPr>
          <w:ilvl w:val="0"/>
          <w:numId w:val="23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实验间各类溶液容器标识不清；</w:t>
      </w:r>
      <w:r>
        <w:rPr>
          <w:color w:val="000000" w:themeColor="text1"/>
          <w14:textFill>
            <w14:solidFill>
              <w14:schemeClr w14:val="tx1"/>
            </w14:solidFill>
          </w14:textFill>
        </w:rPr>
      </w:r>
    </w:p>
    <w:p>
      <w:pPr>
        <w:pStyle w:val="1996"/>
        <w:numPr>
          <w:ilvl w:val="0"/>
          <w:numId w:val="23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实验间5S管理不到位；</w:t>
      </w:r>
      <w:r>
        <w:rPr>
          <w:color w:val="000000" w:themeColor="text1"/>
          <w14:textFill>
            <w14:solidFill>
              <w14:schemeClr w14:val="tx1"/>
            </w14:solidFill>
          </w14:textFill>
        </w:rPr>
      </w:r>
    </w:p>
    <w:p>
      <w:pPr>
        <w:pStyle w:val="1996"/>
        <w:numPr>
          <w:ilvl w:val="0"/>
          <w:numId w:val="23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设备状态标签标识不规范。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4.3.9 观察项：对实验室运作的某个环节提出需关注或改进的建议。 </w:t>
      </w:r>
      <w:r>
        <w:rPr>
          <w:color w:val="000000" w:themeColor="text1"/>
          <w14:textFill>
            <w14:solidFill>
              <w14:schemeClr w14:val="tx1"/>
            </w14:solidFill>
          </w14:textFill>
        </w:rPr>
      </w:r>
    </w:p>
    <w:p>
      <w:pPr>
        <w:pStyle w:val="1996"/>
        <w:numPr>
          <w:ilvl w:val="0"/>
          <w:numId w:val="24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实验室的某些规定或采取的措施可能导致相关的质量活动达不到预期效果，但尚无证据表明不符合情况已发生；</w:t>
      </w:r>
      <w:r>
        <w:rPr>
          <w:color w:val="000000" w:themeColor="text1"/>
          <w14:textFill>
            <w14:solidFill>
              <w14:schemeClr w14:val="tx1"/>
            </w14:solidFill>
          </w14:textFill>
        </w:rPr>
      </w:r>
    </w:p>
    <w:p>
      <w:pPr>
        <w:pStyle w:val="1996"/>
        <w:numPr>
          <w:ilvl w:val="0"/>
          <w:numId w:val="24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审核组对实验室管理体系的运作已产生疑问，但在现场评审期间由于客观原因无法进一步核实，对是否构成不符合不能做出准确的判断；</w:t>
      </w:r>
      <w:r>
        <w:rPr>
          <w:color w:val="000000" w:themeColor="text1"/>
          <w14:textFill>
            <w14:solidFill>
              <w14:schemeClr w14:val="tx1"/>
            </w14:solidFill>
          </w14:textFill>
        </w:rPr>
      </w:r>
    </w:p>
    <w:p>
      <w:pPr>
        <w:pStyle w:val="1996"/>
        <w:numPr>
          <w:ilvl w:val="0"/>
          <w:numId w:val="24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对实验室提出的改进建议。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4.3.10 质量负责人召集全体人员召开末次会议，填写</w:t>
      </w:r>
      <w:r>
        <w:fldChar w:fldCharType="begin"/>
      </w:r>
      <w:r>
        <w:instrText xml:space="preserve"> HYPERLINK "https://pqsuhhq8yu6.feishu.cn/wiki/S4zUwI0kIi32phktZrMc8CuwnLe" \h </w:instrText>
      </w:r>
      <w:r>
        <w:fldChar w:fldCharType="separate"/>
      </w:r>
      <w:r>
        <w:rPr>
          <w:color w:val="000000" w:themeColor="text1"/>
          <w14:textFill>
            <w14:solidFill>
              <w14:schemeClr w14:val="tx1"/>
            </w14:solidFill>
          </w14:textFill>
        </w:rPr>
        <w:t xml:space="preserve">ZJZ/JL19-5现场评审首/末次会议签到表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。末次会议的主要内容如下： </w:t>
      </w:r>
      <w:r>
        <w:rPr>
          <w:color w:val="000000" w:themeColor="text1"/>
          <w14:textFill>
            <w14:solidFill>
              <w14:schemeClr w14:val="tx1"/>
            </w14:solidFill>
          </w14:textFill>
        </w:rPr>
      </w:r>
    </w:p>
    <w:p>
      <w:pPr>
        <w:pStyle w:val="1996"/>
        <w:numPr>
          <w:ilvl w:val="0"/>
          <w:numId w:val="24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报告本次内部审核中发现的情况，确定的不符合项，审核的总体结果情况等，以便于全体人员能够清楚地了解审核结果。 </w:t>
      </w:r>
      <w:r>
        <w:rPr>
          <w:color w:val="000000" w:themeColor="text1"/>
          <w14:textFill>
            <w14:solidFill>
              <w14:schemeClr w14:val="tx1"/>
            </w14:solidFill>
          </w14:textFill>
        </w:rPr>
      </w:r>
    </w:p>
    <w:p>
      <w:pPr>
        <w:pStyle w:val="1996"/>
        <w:numPr>
          <w:ilvl w:val="0"/>
          <w:numId w:val="24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评价内部审核中值得肯定的情况和需要引起注意的存在的问题，同时宣读内部审核的结论。 </w:t>
      </w:r>
      <w:r>
        <w:rPr>
          <w:color w:val="000000" w:themeColor="text1"/>
          <w14:textFill>
            <w14:solidFill>
              <w14:schemeClr w14:val="tx1"/>
            </w14:solidFill>
          </w14:textFill>
        </w:rPr>
      </w:r>
    </w:p>
    <w:p>
      <w:pPr>
        <w:pStyle w:val="1996"/>
        <w:numPr>
          <w:ilvl w:val="0"/>
          <w:numId w:val="24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确定纠正措施的完成时间。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4.3.11 对于涉及技术能力的不符合，如涉及人员能力、设备、环境设施等，而实验室又不能在短期内完成整改的项目/参数，审核组上报站技术负责人暂停该项目。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内部审核记录和报告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内审组应该认真保留内部审核的全部记录，包括内审计划、内审首次会议记录、内审检查记录、内审不符合项报告、纠正措施记录、末次会议记录等。所有审核记录应按规定的质量记录保存时间保存。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审核结束后，质量负责人负责编制内部审核报告，总结审核结果，交站长/最高管理者审批。一般现场审核结束后一周内下发内部审核报告。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所有审核发现都应当予以记录，由陪同人员对审核信息进行见证。即使没有发现不符合项，也应当保留完整的审核记录。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后续纠正措施及关闭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受审核部门根据末次会议确定的纠正措施和整改完成时限，按照</w:t>
      </w:r>
      <w:r>
        <w:fldChar w:fldCharType="begin"/>
      </w:r>
      <w:r>
        <w:instrText xml:space="preserve"> HYPERLINK "https://pqsuhhq8yu6.feishu.cn/wiki/YfRPwxwi1iC7bdksrqxcyZyinyI" \h </w:instrText>
      </w:r>
      <w:r>
        <w:fldChar w:fldCharType="separate"/>
      </w:r>
      <w:r>
        <w:rPr>
          <w:color w:val="000000" w:themeColor="text1"/>
          <w14:textFill>
            <w14:solidFill>
              <w14:schemeClr w14:val="tx1"/>
            </w14:solidFill>
          </w14:textFill>
        </w:rPr>
        <w:t xml:space="preserve">ZJZ/JL 19-3 不符合项/基本符合项报告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进行整改。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当不符合项可能危及检验检测结果时，技术负责人应要求停止相关的活动，直至采取相应的纠正措施，并且经内审员跟踪验证表明取得了满意的结果为止，经技术负责人批准方可恢复检验检测工作。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当不符合项已经影响到检验检测的结果，技术负责人应组织质量监督员、进行调查和可接受性评价。如果对相应的检验检测报告的有效性产生怀疑时，技术负责人负责通知相应的客户，执行</w:t>
      </w:r>
      <w:r>
        <w:fldChar w:fldCharType="begin"/>
      </w:r>
      <w:r>
        <w:instrText xml:space="preserve"> HYPERLINK "https://pqsuhhq8yu6.feishu.cn/wiki/FZbrwITmri4M2nk2qTRcWnsJn1d" \h </w:instrText>
      </w:r>
      <w:r>
        <w:fldChar w:fldCharType="separate"/>
      </w:r>
      <w:r>
        <w:rPr>
          <w:color w:val="000000" w:themeColor="text1"/>
          <w14:textFill>
            <w14:solidFill>
              <w14:schemeClr w14:val="tx1"/>
            </w14:solidFill>
          </w14:textFill>
        </w:rPr>
        <w:t xml:space="preserve">ZJZ/CX-29 结果报告管理程序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内审后，如果需要对质量体系文件进行修改应执行</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4.5.5 内审员根据商定的纠正措施期限，对纠正措施的实施效果进行检查，以验证纠正措施的有效性。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4.5.6 质量负责人根据内审员的跟踪验证报告，实际检查并最终确定受审核方已经消除不符合项后，不符合项关闭。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输入管理评审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质量负责人对本次内部审核进行全面总结和分析提出改进建议，对于一些系统性、整体性的问题在管理评审时提交会议评审。</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"https://pqsuhhq8yu6.feishu.cn/wiki/FZbrwITmri4M2nk2qTRcWnsJn1d" \h </w:instrText>
      </w:r>
      <w:r>
        <w:fldChar w:fldCharType="separate"/>
      </w:r>
      <w:r>
        <w:rPr>
          <w:color w:val="000000" w:themeColor="text1"/>
          <w14:textFill>
            <w14:solidFill>
              <w14:schemeClr w14:val="tx1"/>
            </w14:solidFill>
          </w14:textFill>
        </w:rPr>
        <w:t xml:space="preserve">ZJZ/CX-29 结果报告管理程序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"https://pqsuhhq8yu6.feishu.cn/wiki/M5WAw2J3Fi5vvFkqwFxcpppcnlD" \h </w:instrText>
      </w:r>
      <w:r>
        <w:fldChar w:fldCharType="separate"/>
      </w:r>
      <w:r>
        <w:rPr>
          <w:color w:val="000000" w:themeColor="text1"/>
          <w14:textFill>
            <w14:solidFill>
              <w14:schemeClr w14:val="tx1"/>
            </w14:solidFill>
          </w14:textFill>
        </w:rPr>
        <w:t xml:space="preserve">ZJZ/JL 19-1 ****年度内部审核计划</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"https://pqsuhhq8yu6.feishu.cn/wiki/XSZJwybq4ijupEk7NaUc6Hsnnyg" \h </w:instrText>
      </w:r>
      <w:r>
        <w:fldChar w:fldCharType="separate"/>
      </w:r>
      <w:r>
        <w:rPr>
          <w:color w:val="000000" w:themeColor="text1"/>
          <w14:textFill>
            <w14:solidFill>
              <w14:schemeClr w14:val="tx1"/>
            </w14:solidFill>
          </w14:textFill>
        </w:rPr>
        <w:t xml:space="preserve">ZJZ/JL19-1内部审核实施计划</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"https://pqsuhhq8yu6.feishu.cn/wiki/SVTpw27Y2iqiJwkphI4cLHJinud" \h </w:instrText>
      </w:r>
      <w:r>
        <w:fldChar w:fldCharType="separate"/>
      </w:r>
      <w:r>
        <w:rPr>
          <w:color w:val="000000" w:themeColor="text1"/>
          <w14:textFill>
            <w14:solidFill>
              <w14:schemeClr w14:val="tx1"/>
            </w14:solidFill>
          </w14:textFill>
        </w:rPr>
        <w:t xml:space="preserve">ZJZ/JL19-2内部质量体系审核现场检查表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"https://pqsuhhq8yu6.feishu.cn/wiki/YfRPwxwi1iC7bdksrqxcyZyinyI" \h </w:instrText>
      </w:r>
      <w:r>
        <w:fldChar w:fldCharType="separate"/>
      </w:r>
      <w:r>
        <w:rPr>
          <w:color w:val="000000" w:themeColor="text1"/>
          <w14:textFill>
            <w14:solidFill>
              <w14:schemeClr w14:val="tx1"/>
            </w14:solidFill>
          </w14:textFill>
        </w:rPr>
        <w:t xml:space="preserve">ZJZ/JL19-3不符合项报告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"https://pqsuhhq8yu6.feishu.cn/wiki/QdpOwCQamijRuWker9ic6SZIn17" \h </w:instrText>
      </w:r>
      <w:r>
        <w:fldChar w:fldCharType="separate"/>
      </w:r>
      <w:r>
        <w:rPr>
          <w:color w:val="000000" w:themeColor="text1"/>
          <w14:textFill>
            <w14:solidFill>
              <w14:schemeClr w14:val="tx1"/>
            </w14:solidFill>
          </w14:textFill>
        </w:rPr>
        <w:t xml:space="preserve">ZJZ/JL19-4内部质量审核报告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"https://pqsuhhq8yu6.feishu.cn/wiki/S4zUwI0kIi32phktZrMc8CuwnLe" \h </w:instrText>
      </w:r>
      <w:r>
        <w:fldChar w:fldCharType="separate"/>
      </w:r>
      <w:r>
        <w:rPr>
          <w:color w:val="000000" w:themeColor="text1"/>
          <w14:textFill>
            <w14:solidFill>
              <w14:schemeClr w14:val="tx1"/>
            </w14:solidFill>
          </w14:textFill>
        </w:rPr>
        <w:t xml:space="preserve">ZJZ/JL19-5现场评审首/末次会议签到表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41" w:name="_Toc2512"/>
      <w:r>
        <w:rPr>
          <w:color w:val="000000" w:themeColor="text1"/>
          <w14:textFill>
            <w14:solidFill>
              <w14:schemeClr w14:val="tx1"/>
            </w14:solidFill>
          </w14:textFill>
        </w:rPr>
        <w:t xml:space="preserve">ZJZ/CX-20 管理评审程序</w:t>
      </w:r>
      <w:bookmarkEnd w:id="41"/>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对管理体系的适宜性、充分性、有效性进行评审，不断改进和完善管理体系，确保质量方针和目标的实现并满足客户的要求。</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适用于管理体系管理评审活动。</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最高管理者：负责主持管理评审，批准年度管理评审计划和管理评审报告，对质量体系现状的适宜性与有效性、充分性作出结论和决议。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质量负责人：组织制订管理评审实施计划；负责组织收集管理评审所需要的资料；组织整理、汇总管理评审记录；负责组织管理评审后改进措施的检查、督促和验证。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技术负责人、实验室室主任：负责准备、提供与本部门工作有关的评审资料，报告管理体系的运行情况；负责实施管理评审中提出的相关改进措施。</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工作程序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w:t>
      </w:r>
      <w:r>
        <w:rPr>
          <w:b/>
          <w:color w:val="000000" w:themeColor="text1"/>
          <w14:textFill>
            <w14:solidFill>
              <w14:schemeClr w14:val="tx1"/>
            </w14:solidFill>
          </w14:textFill>
        </w:rPr>
        <w:t xml:space="preserve">评审计划</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每年初由质量负责人制定年度管理评审计划，包括：时间、地点、参加的部门及负责人、审核准备要求、审核的内容，编写入年度质量体系运行工作计划，经最高管理者审批后实施。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由质量负责人根据</w:t>
      </w:r>
      <w:r>
        <w:fldChar w:fldCharType="begin"/>
      </w:r>
      <w:r>
        <w:instrText xml:space="preserve"> HYPERLINK "https://pqsuhhq8yu6.feishu.cn/wiki/SCqkweI7ViUQQ0kpItncKJ3Jnrf" \h </w:instrText>
      </w:r>
      <w:r>
        <w:fldChar w:fldCharType="separate"/>
      </w:r>
      <w:r>
        <w:rPr>
          <w:color w:val="000000" w:themeColor="text1"/>
          <w14:textFill>
            <w14:solidFill>
              <w14:schemeClr w14:val="tx1"/>
            </w14:solidFill>
          </w14:textFill>
        </w:rPr>
        <w:t xml:space="preserve">ZJZ/JL20-1管理评审实施计划</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和最高管理者的要求负责制定，一般应在一次完整的质量体系内审后进行，也可根据内外部形势的变化由最高管理者随时提出。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在正常情况下，管理评审12个月一次。当出现下列情况时由最高管理者决定增加管理评审次数：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1）发生重大质量事故时；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2）客户有严重投诉或投诉连续发生时；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3）组织机构或质量体系发生重大变化时；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4）市场需求有重大变化时；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5）法律法规及其他要求发生重大变化时。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参加管理评审会议人员为站管理层、技术负责人、质量负责人、各部门负责人、室主任以及质量监督员、内审员等，必要时，也可指定有关部门代表参加。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w:t>
      </w:r>
      <w:r>
        <w:rPr>
          <w:b/>
          <w:color w:val="000000" w:themeColor="text1"/>
          <w14:textFill>
            <w14:solidFill>
              <w14:schemeClr w14:val="tx1"/>
            </w14:solidFill>
          </w14:textFill>
        </w:rPr>
        <w:t xml:space="preserve">评审准备</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质量负责人将</w:t>
      </w:r>
      <w:r>
        <w:fldChar w:fldCharType="begin"/>
      </w:r>
      <w:r>
        <w:instrText xml:space="preserve"> HYPERLINK "https://pqsuhhq8yu6.feishu.cn/wiki/SCqkweI7ViUQQ0kpItncKJ3Jnrf" \h </w:instrText>
      </w:r>
      <w:r>
        <w:fldChar w:fldCharType="separate"/>
      </w:r>
      <w:r>
        <w:rPr>
          <w:color w:val="000000" w:themeColor="text1"/>
          <w14:textFill>
            <w14:solidFill>
              <w14:schemeClr w14:val="tx1"/>
            </w14:solidFill>
          </w14:textFill>
        </w:rPr>
        <w:t xml:space="preserve">ZJZ/JL20-1管理评审实施计划</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于评审前至少7天下达至参加评审的人员。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管理评审的输入应包括以下信息：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与实验室相关的内外部因素的变化。由最高管理者或其授权人负责汇报，汇报要点：内部组织结构是否进行了调整，岗位及部门职责是否发生了变化。上级管理部门对本站的职责是否进行了调整。对部门或实验室如何调整来适应相关的内外部因素的变化。</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目标实现。由质量负责人负责汇报，汇报要点：提交质量目标的核算记录，质量目标是否达到文件规定要求的结论描述，是否需要对质量目标进行调整的建议。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政策和程序的适宜性。由最高管理者或其授权人负责汇报，汇报要点：外部法律法规、认证机构对检验检测机构资质认定评审要求变化情况；内部组织结构、发展方向的变化情况；现行的体系文件对这些变化的要求的覆盖和细化情况；是否需要对体系文件描述进行调整的建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以往管理评审所采取措施的情况。由质量负责人负责汇报，汇报要点：输出要求内容、完成方式、完成情况、完成情况的持续有效性、有无进行跟踪验证、有无需要改进的地方。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近期内部审核的结果。由质量负责人汇报，汇报要点：内审的时间、内审的实施整体情况、内审中发现的不符合项完成情况、因不符合项的纠正实施了哪些方面的改进、内审合理化的建议。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纠正措施。由质量负责人负责汇报，汇报要点：年度各项活动中发现的不符合项采取的纠正措施的总结数量、完成情况、改进的环节。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7) 由外部机构进行的评审。由质量负责人负责汇报，汇报要点：有无外部机构的评审、哪些外部机构（认证管理部门、行业管理部门、行政管理部门）开展了评审、评审的情况及结论、评审的整改完成情况、评审活动对那些环节进行的改进。</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8) 工作量和工作类型的变化或实验室活动范围的变化。由技术负责人负责汇报，汇报要点：现有的工作量和工作类型是否满足组织发展要求，是否需要增加或减少工作量和工作类型、为什么需要调整工作量和工作类型、调整哪些工作量和工作类型、需要什么支持、什么时间调整到位或执行、执行后如何验证、何时开展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9) 客户和员工的反馈、投诉。由质量负责人负责汇报，汇报要点：年度收集客户满意度调查表或受理了多少投诉及客户反馈、多少正面的、多少负面的。投诉及客户负面反馈如何分析、纠正、反馈、并获得客户认可的。哪些方面是最好或问题严重的、是否借此对体系哪些环节进行了改进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10) 实施改进的有效性。由各部门负责人汇报，汇报要点：本年度实施了哪些改进措施，效果如何。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11) 资源的充分性。由技术负责人负责汇报，汇报要点：年度资源（人力资源、设备资源、耗材资源、场地资源、技术资源）的使用情况、是否满足年度工作的要求。根据下年度的发展方向、项目结构调整情况，需要哪些资源配置，应达到什么程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12) 风险识别的结果。由最高管理者或其授权人负责汇报，汇报要点：应从法律法规、安全、环境、设备校准、质量控制、人员能力、样品、检测方法、环境条件等方面进行风险分析。应对风险和机遇的措施与其对实验室结果有效性的潜在影响适应性进行评价，采取了那些措施来达到降低风险、寻求机遇、扩展活动范围、赢得新客户，使用新技术和其他方式应对客户需求的目的，把握实现目标的机遇、预防或减少实验室活动中的不利影响和潜在的失败，实现管理体系改进。</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13) 结果质量的保障性。由技术负责人负责汇报。汇报要点：</w:t>
      </w:r>
      <w:r>
        <w:rPr>
          <w:color w:val="000000" w:themeColor="text1"/>
          <w14:textFill>
            <w14:solidFill>
              <w14:schemeClr w14:val="tx1"/>
            </w14:solidFill>
          </w14:textFill>
        </w:rPr>
      </w:r>
    </w:p>
    <w:p>
      <w:pPr>
        <w:pStyle w:val="1996"/>
        <w:numPr>
          <w:ilvl w:val="0"/>
          <w:numId w:val="24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根据质量控制计划完成了多少质控、质量数据的趋势反映、根据新的标准的实施质量方式是否需要调整、如何调整、调整后执行的频次、下年度的质量控制计划内容是否需要改进的建议。</w:t>
      </w:r>
      <w:r>
        <w:rPr>
          <w:color w:val="000000" w:themeColor="text1"/>
          <w14:textFill>
            <w14:solidFill>
              <w14:schemeClr w14:val="tx1"/>
            </w14:solidFill>
          </w14:textFill>
        </w:rPr>
      </w:r>
    </w:p>
    <w:p>
      <w:pPr>
        <w:pStyle w:val="1996"/>
        <w:numPr>
          <w:ilvl w:val="0"/>
          <w:numId w:val="24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哪些项目开展了实验室间比对和能力验证，为什么开展、开展的结果如何、如何应用这些结果、有无对存在的不符合或不满意结果进行的分析和纠正、纠正是否获得验证。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14) 其他相关因素，如监督活动和培训。</w:t>
      </w:r>
      <w:r>
        <w:rPr>
          <w:color w:val="000000" w:themeColor="text1"/>
          <w14:textFill>
            <w14:solidFill>
              <w14:schemeClr w14:val="tx1"/>
            </w14:solidFill>
          </w14:textFill>
        </w:rPr>
      </w:r>
    </w:p>
    <w:p>
      <w:pPr>
        <w:pStyle w:val="1996"/>
        <w:numPr>
          <w:ilvl w:val="0"/>
          <w:numId w:val="24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由质量负责人汇报，汇报要点：质量监督的范围、频次、发现的问题、纠正完成情况、纠正后活动的持续有效性、监督环节的调整、合理化建议。</w:t>
      </w:r>
      <w:r>
        <w:rPr>
          <w:color w:val="000000" w:themeColor="text1"/>
          <w14:textFill>
            <w14:solidFill>
              <w14:schemeClr w14:val="tx1"/>
            </w14:solidFill>
          </w14:textFill>
        </w:rPr>
      </w:r>
    </w:p>
    <w:p>
      <w:pPr>
        <w:pStyle w:val="1996"/>
        <w:numPr>
          <w:ilvl w:val="0"/>
          <w:numId w:val="24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由技术负责人负责汇报，汇报要点：人员进行了哪些方面的培训、培训的频次、培训达到的效果、通过培训发现的问题，改进的情况。根据下年度的发展方向、项目结构调整情况，需要哪些资源配置、需要对人员进行什么培训、培训应达到什么程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w:t>
      </w:r>
      <w:r>
        <w:rPr>
          <w:b/>
          <w:color w:val="000000" w:themeColor="text1"/>
          <w14:textFill>
            <w14:solidFill>
              <w14:schemeClr w14:val="tx1"/>
            </w14:solidFill>
          </w14:textFill>
        </w:rPr>
        <w:t xml:space="preserve">实施评审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最高管理者主持管理评审会。采用会议形式进行，必要时可与现场调查相结合，参会人员填写签到表。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按管理评审实施计划和评审重点逐项讨论，作出评审综合结论和决议。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对管理评审中发现的问题，由最高管理者决策限期整改，必要时执行</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w:t>
      </w:r>
      <w:r>
        <w:rPr>
          <w:color w:val="000000" w:themeColor="text1"/>
          <w:highlight w:val="yellow"/>
          <w14:textFill>
            <w14:solidFill>
              <w14:schemeClr w14:val="tx1"/>
            </w14:solidFill>
          </w14:textFill>
        </w:rPr>
        <w:t xml:space="preserve">质量负责人负责组织编写</w:t>
      </w:r>
      <w:r>
        <w:fldChar w:fldCharType="begin"/>
      </w:r>
      <w:r>
        <w:instrText xml:space="preserve"> HYPERLINK "https://pqsuhhq8yu6.feishu.cn/wiki/SwfgwkGR0iL3IykeUe3cVf8nnzg" \h </w:instrText>
      </w:r>
      <w:r>
        <w:fldChar w:fldCharType="separate"/>
      </w:r>
      <w:r>
        <w:rPr>
          <w:color w:val="000000" w:themeColor="text1"/>
          <w:highlight w:val="yellow"/>
          <w14:textFill>
            <w14:solidFill>
              <w14:schemeClr w14:val="tx1"/>
            </w14:solidFill>
          </w14:textFill>
        </w:rPr>
        <w:t xml:space="preserve">ZJZ/JL20-2管理评审会议记录</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质量负责人根据管理评审会议记录编写</w:t>
      </w:r>
      <w:r>
        <w:fldChar w:fldCharType="begin"/>
      </w:r>
      <w:r>
        <w:instrText xml:space="preserve"> HYPERLINK "https://pqsuhhq8yu6.feishu.cn/wiki/HYQTwDwxli3qALkOknEcD9Q8n6f" \h </w:instrText>
      </w:r>
      <w:r>
        <w:fldChar w:fldCharType="separate"/>
      </w:r>
      <w:r>
        <w:rPr>
          <w:color w:val="000000" w:themeColor="text1"/>
          <w14:textFill>
            <w14:solidFill>
              <w14:schemeClr w14:val="tx1"/>
            </w14:solidFill>
          </w14:textFill>
        </w:rPr>
        <w:t xml:space="preserve">ZJZ/JL20-3管理评审报告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，经最高管理者审批后进行存档。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4.3.6 管理评审的输出项：</w:t>
      </w:r>
      <w:r>
        <w:rPr>
          <w:color w:val="000000" w:themeColor="text1"/>
          <w14:textFill>
            <w14:solidFill>
              <w14:schemeClr w14:val="tx1"/>
            </w14:solidFill>
          </w14:textFill>
        </w:rPr>
      </w:r>
    </w:p>
    <w:p>
      <w:pPr>
        <w:pStyle w:val="1996"/>
        <w:numPr>
          <w:ilvl w:val="0"/>
          <w:numId w:val="25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管理体系及其过程的有效性。总结体系运行中满足法律法规及准则要求存在的不足，提出持续改进的意见和措施；根据内外部变化，讨论决定质量方针的变更需求；中期和长期质量目标的修订，依据本年度质量目标完成情况讨论制定下一年度的质量目标。</w:t>
      </w:r>
      <w:r>
        <w:rPr>
          <w:color w:val="000000" w:themeColor="text1"/>
          <w14:textFill>
            <w14:solidFill>
              <w14:schemeClr w14:val="tx1"/>
            </w14:solidFill>
          </w14:textFill>
        </w:rPr>
      </w:r>
    </w:p>
    <w:p>
      <w:pPr>
        <w:pStyle w:val="1996"/>
        <w:numPr>
          <w:ilvl w:val="0"/>
          <w:numId w:val="25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履行检验检测机构资质认定评审准则要求的改进；</w:t>
      </w:r>
      <w:r>
        <w:rPr>
          <w:color w:val="000000" w:themeColor="text1"/>
          <w14:textFill>
            <w14:solidFill>
              <w14:schemeClr w14:val="tx1"/>
            </w14:solidFill>
          </w14:textFill>
        </w:rPr>
      </w:r>
    </w:p>
    <w:p>
      <w:pPr>
        <w:pStyle w:val="1996"/>
        <w:numPr>
          <w:ilvl w:val="0"/>
          <w:numId w:val="25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提供所需的资源。根据内外部市场的变化，讨论本站现有资源是否满足变化需求，结合持续满足客户的要求和本站的发展提出资源的需求。</w:t>
      </w:r>
      <w:r>
        <w:rPr>
          <w:color w:val="000000" w:themeColor="text1"/>
          <w14:textFill>
            <w14:solidFill>
              <w14:schemeClr w14:val="tx1"/>
            </w14:solidFill>
          </w14:textFill>
        </w:rPr>
      </w:r>
    </w:p>
    <w:p>
      <w:pPr>
        <w:pStyle w:val="1996"/>
        <w:numPr>
          <w:ilvl w:val="0"/>
          <w:numId w:val="25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变更的需求。内部组织结构、岗位及部门职责的调整；机构名称、地址、法人性质发生的变更；法定代表人、技术负责人、检验检测报告授权签字人发生的变更；检验检测项目发生的变更；检验检测标准或者检验检测方法发生的变更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w:t>
      </w:r>
      <w:r>
        <w:rPr>
          <w:b/>
          <w:color w:val="000000" w:themeColor="text1"/>
          <w14:textFill>
            <w14:solidFill>
              <w14:schemeClr w14:val="tx1"/>
            </w14:solidFill>
          </w14:textFill>
        </w:rPr>
        <w:t xml:space="preserve">跟踪检查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实验室室主任负责组织提出的问题进行整改，必要时执行</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质量负责人负责组织整改的检查、督促和验证工作。当整改工作涉及到质量体系文件更改时执行</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资料整理存档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评审报告及以上记录质量负责人负责组织收集整理，交资料管理员归档，按</w:t>
      </w: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保存。</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"https://pqsuhhq8yu6.feishu.cn/wiki/SCqkweI7ViUQQ0kpItncKJ3Jnrf" \h </w:instrText>
      </w:r>
      <w:r>
        <w:fldChar w:fldCharType="separate"/>
      </w:r>
      <w:r>
        <w:rPr>
          <w:color w:val="000000" w:themeColor="text1"/>
          <w14:textFill>
            <w14:solidFill>
              <w14:schemeClr w14:val="tx1"/>
            </w14:solidFill>
          </w14:textFill>
        </w:rPr>
        <w:t xml:space="preserve">ZJZ/JL20-1管理评审实施计划</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"https://pqsuhhq8yu6.feishu.cn/wiki/SwfgwkGR0iL3IykeUe3cVf8nnzg" \h </w:instrText>
      </w:r>
      <w:r>
        <w:fldChar w:fldCharType="separate"/>
      </w:r>
      <w:r>
        <w:rPr>
          <w:color w:val="000000" w:themeColor="text1"/>
          <w14:textFill>
            <w14:solidFill>
              <w14:schemeClr w14:val="tx1"/>
            </w14:solidFill>
          </w14:textFill>
        </w:rPr>
        <w:t xml:space="preserve">ZJZ/JL20-2管理评审会议记录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"https://pqsuhhq8yu6.feishu.cn/wiki/HYQTwDwxli3qALkOknEcD9Q8n6f" \h </w:instrText>
      </w:r>
      <w:r>
        <w:fldChar w:fldCharType="separate"/>
      </w:r>
      <w:r>
        <w:rPr>
          <w:color w:val="000000" w:themeColor="text1"/>
          <w14:textFill>
            <w14:solidFill>
              <w14:schemeClr w14:val="tx1"/>
            </w14:solidFill>
          </w14:textFill>
        </w:rPr>
        <w:t xml:space="preserve">ZJZ/JL20-3管理评审报告</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shd w:val="clear" w:color="auto" w:fill="fff67a"/>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shd w:val="clear" w:color="auto" w:fill="fff67a"/>
          <w14:textFill>
            <w14:solidFill>
              <w14:schemeClr w14:val="tx1"/>
            </w14:solidFill>
          </w14:textFill>
        </w:rPr>
      </w:r>
      <w:r>
        <w:rPr>
          <w:color w:val="000000" w:themeColor="text1"/>
          <w:shd w:val="clear" w:color="auto" w:fill="fff67a"/>
          <w14:textFill>
            <w14:solidFill>
              <w14:schemeClr w14:val="tx1"/>
            </w14:solidFill>
          </w14:textFill>
        </w:rPr>
      </w:r>
    </w:p>
    <w:p>
      <w:pPr>
        <w:pStyle w:val="1984"/>
        <w:pBdr/>
        <w:spacing/>
        <w:ind/>
        <w:rPr>
          <w:color w:val="000000" w:themeColor="text1"/>
          <w14:textFill>
            <w14:solidFill>
              <w14:schemeClr w14:val="tx1"/>
            </w14:solidFill>
          </w14:textFill>
        </w:rPr>
      </w:pPr>
      <w:r/>
      <w:bookmarkStart w:id="42" w:name="_Toc13530"/>
      <w:r>
        <w:rPr>
          <w:color w:val="000000" w:themeColor="text1"/>
          <w14:textFill>
            <w14:solidFill>
              <w14:schemeClr w14:val="tx1"/>
            </w14:solidFill>
          </w14:textFill>
        </w:rPr>
        <w:t xml:space="preserve">ZJZ/CX-21 检测方法的选择、确认和验证程序</w:t>
      </w:r>
      <w:bookmarkEnd w:id="42"/>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为保证本站开展的检验检测活动中所采用的方法进行监督和控制， 以确保检验检测结果准确可靠。</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适用于本站检测过程中检验检测方法的选择、制定和验证的全过程。</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技术负责人：负责组织检验检测方法的选用、确认，负责对非标准方法使用的批准。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质量负责人：负责组织对实验室自制方法、非标准方法的评审和验证。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实验室室主任：负责本实验室检验检测方法的查新、选择和验证，负责本实验室自制方法、非标方法的编制和确认和验证。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资料管理员：负责本站检验检测方法的汇总和文件的管理。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检验检测方法的分类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本站的检验检测方法分两类：标准方法、非标准方法。</w:t>
      </w:r>
      <w:r>
        <w:rPr>
          <w:color w:val="000000" w:themeColor="text1"/>
          <w14:textFill>
            <w14:solidFill>
              <w14:schemeClr w14:val="tx1"/>
            </w14:solidFill>
          </w14:textFill>
        </w:rPr>
      </w:r>
    </w:p>
    <w:p>
      <w:pPr>
        <w:pStyle w:val="1996"/>
        <w:numPr>
          <w:ilvl w:val="0"/>
          <w:numId w:val="25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标准方法包括：国际标准（ISO/IEC/ITU）、国家标准、行业标准、中国石化企业标准、西北油田企业标准。其中允许申请资质认定的标准方法为国家标准、行业标准；</w:t>
      </w:r>
      <w:r>
        <w:rPr>
          <w:color w:val="000000" w:themeColor="text1"/>
          <w14:textFill>
            <w14:solidFill>
              <w14:schemeClr w14:val="tx1"/>
            </w14:solidFill>
          </w14:textFill>
        </w:rPr>
      </w:r>
    </w:p>
    <w:p>
      <w:pPr>
        <w:pStyle w:val="1996"/>
        <w:numPr>
          <w:ilvl w:val="0"/>
          <w:numId w:val="25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非标准方法包括：实验室自制方法、超出适用范围的标准方法、在标准方法基础上修改的方法、由行业技术组织或有关科技文献或期刊中公布的方法、设备制造商规定的方法、客户提供的实验方案等。非标准方法不允许申请资质认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当客户委托时指定检验检测方法时，应执行指定的方法，但本站认为客户指定的方法不适合或已过期时，本站应及时和客户沟通、确认。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当客户委托时未指定检验检测方法时，应优先选用国家标准、行业标准方法。当上级管理部门有检验检测方法有明确要求时，应优先选用指定的方法，如中国石化企业标准、西北油田企业标准。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方法的管理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技术负责人要保证实验室采用适当的方法和程序开展所有实验室活动。</w:t>
      </w:r>
      <w:r>
        <w:rPr>
          <w:color w:val="000000" w:themeColor="text1"/>
          <w14:textFill>
            <w14:solidFill>
              <w14:schemeClr w14:val="tx1"/>
            </w14:solidFill>
          </w14:textFill>
        </w:rPr>
      </w:r>
    </w:p>
    <w:p>
      <w:pPr>
        <w:pStyle w:val="1996"/>
        <w:numPr>
          <w:ilvl w:val="0"/>
          <w:numId w:val="25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纳入资质认定项目优先选择国家标准、行业标准和国际标准，当选择地方标准或法律规范时，检验检测报告只适用于本区域内。</w:t>
      </w:r>
      <w:r>
        <w:rPr>
          <w:color w:val="000000" w:themeColor="text1"/>
          <w14:textFill>
            <w14:solidFill>
              <w14:schemeClr w14:val="tx1"/>
            </w14:solidFill>
          </w14:textFill>
        </w:rPr>
      </w:r>
    </w:p>
    <w:p>
      <w:pPr>
        <w:pStyle w:val="1996"/>
        <w:numPr>
          <w:ilvl w:val="0"/>
          <w:numId w:val="25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按照集团公司要求，必须选用石油石化框架中的技术方法或企业标准的检验检测项目不纳入资质认定能力范围。</w:t>
      </w:r>
      <w:r>
        <w:rPr>
          <w:color w:val="000000" w:themeColor="text1"/>
          <w14:textFill>
            <w14:solidFill>
              <w14:schemeClr w14:val="tx1"/>
            </w14:solidFill>
          </w14:textFill>
        </w:rPr>
      </w:r>
    </w:p>
    <w:p>
      <w:pPr>
        <w:pStyle w:val="1996"/>
        <w:numPr>
          <w:ilvl w:val="0"/>
          <w:numId w:val="25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非标准方法和实验室自制方法只适用于企业内部使用，不纳入资质认定能力范围。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技术负责人组织实验室室主任跟踪标准的有效情况，保证实验室活动采用最新有效版本，实验室室主任每季度进行标准查新，当标准方法有更新时，及时上报实验检测技术中心生产运行室体系运行岗进行购买，执行</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各实验室接收到更新的标准后一周内完成确认，找出新旧标准差异，分析资源配置情况（包括人员、设备、计量器具、试剂、标准物质、技术标准等），</w:t>
      </w:r>
      <w:r>
        <w:rPr>
          <w:color w:val="000000" w:themeColor="text1"/>
          <w:highlight w:val="yellow"/>
          <w14:textFill>
            <w14:solidFill>
              <w14:schemeClr w14:val="tx1"/>
            </w14:solidFill>
          </w14:textFill>
        </w:rPr>
        <w:t xml:space="preserve">填写</w:t>
      </w:r>
      <w:r>
        <w:fldChar w:fldCharType="begin"/>
      </w:r>
      <w:r>
        <w:instrText xml:space="preserve"> HYPERLINK "https://pqsuhhq8yu6.feishu.cn/wiki/SsZcwoSo2itIqTkiYoBcJuWmnwb" \h </w:instrText>
      </w:r>
      <w:r>
        <w:fldChar w:fldCharType="separate"/>
      </w:r>
      <w:r>
        <w:rPr>
          <w:color w:val="000000" w:themeColor="text1"/>
          <w:highlight w:val="yellow"/>
          <w14:textFill>
            <w14:solidFill>
              <w14:schemeClr w14:val="tx1"/>
            </w14:solidFill>
          </w14:textFill>
        </w:rPr>
        <w:t xml:space="preserve">ZJZ/JL21-1</w:t>
      </w:r>
      <w:r>
        <w:rPr>
          <w:rFonts w:hint="eastAsia"/>
          <w:color w:val="000000" w:themeColor="text1"/>
          <w14:textFill>
            <w14:solidFill>
              <w14:schemeClr w14:val="tx1"/>
            </w14:solidFill>
          </w14:textFill>
        </w:rPr>
        <w:t xml:space="preserve">检测方法</w:t>
      </w:r>
      <w:r>
        <w:rPr>
          <w:rFonts w:hint="eastAsia"/>
          <w:color w:val="000000" w:themeColor="text1"/>
          <w:lang w:eastAsia="zh-CN"/>
          <w14:textFill>
            <w14:solidFill>
              <w14:schemeClr w14:val="tx1"/>
            </w14:solidFill>
          </w14:textFill>
        </w:rPr>
        <w:t xml:space="preserve">确认/验证</w:t>
      </w:r>
      <w:r>
        <w:rPr>
          <w:rFonts w:hint="eastAsia"/>
          <w:color w:val="000000" w:themeColor="text1"/>
          <w14:textFill>
            <w14:solidFill>
              <w14:schemeClr w14:val="tx1"/>
            </w14:solidFill>
          </w14:textFill>
        </w:rPr>
        <w:t xml:space="preserve">审批表</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highlight w:val="yellow"/>
          <w14:textFill>
            <w14:solidFill>
              <w14:schemeClr w14:val="tx1"/>
            </w14:solidFill>
          </w14:textFill>
        </w:rPr>
        <w:t xml:space="preserve">如果标准方法仅发生了编辑性修改，仅需要确认和宣贯，无需开展实验验证。如果技术方法发生了变化，应开展实验验证。</w:t>
      </w:r>
      <w:r>
        <w:rPr>
          <w:color w:val="000000" w:themeColor="text1"/>
          <w14:textFill>
            <w14:solidFill>
              <w14:schemeClr w14:val="tx1"/>
            </w14:solidFill>
          </w14:textFill>
        </w:rPr>
        <w:t xml:space="preserve">提交技术负责人批准，并及时对变更后的标准进行培训，填写</w:t>
      </w:r>
      <w:r>
        <w:fldChar w:fldCharType="begin"/>
      </w:r>
      <w:r>
        <w:instrText xml:space="preserve"> HYPERLINK "https://pqsuhhq8yu6.feishu.cn/wiki/SSe5wOdAYiFbGfkQ1cPctVkMnTb" \h </w:instrText>
      </w:r>
      <w:r>
        <w:fldChar w:fldCharType="separate"/>
      </w:r>
      <w:r>
        <w:rPr>
          <w:color w:val="000000" w:themeColor="text1"/>
          <w14:textFill>
            <w14:solidFill>
              <w14:schemeClr w14:val="tx1"/>
            </w14:solidFill>
          </w14:textFill>
        </w:rPr>
        <w:t xml:space="preserve">ZJZ/JL 03-5 培训记录表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。对于认证项目，中心质量负责人在标准确认完成后，应及时在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检验检测机构资质认定网上审批系统</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申请标准变更，认监委批准后方可使用新标准。在标准变更期间，该领域授权签字人禁止使用资质认定标志章。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如果标准方法中对详细的操作步骤未做约束，不同实验人员使用该方法时操作步骤可能产生分歧或对结果产生影响时，实验室室主任应组织岗位检验检测人员依照该方法标准对相关仪器设备的使用、操作流程以及样品的处置、制备等制订实施细则以补充细化，报技术负责人审批。当选用的方法标准对操作步骤进行了详细规定，不同实验人员使用时不会产生分歧时，则无需制定实施细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技术负责人应组织实验室室主任对现使用的检验检测方法实施有效的控制与管理。及时跟踪国内外检验检测技术方法的最新发展，确认目前国内外新的检验检测技术方法能否对检验检测工作提升质量和效率，必要时对方法标准进行新增或扩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方法的选择</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当样品委托合同中客户未指定所用的方法时，中心应优先选择资质认定能力附表中的标准方法。当资质认定能力附表中无适当的标准方法时，应事先征得客户同意，该领域授权签字人不能使用资质认定标志章，并告知客户相关方法可能存在的风险时，可采用本站</w:t>
      </w:r>
      <w:r>
        <w:fldChar w:fldCharType="begin"/>
      </w:r>
      <w:r>
        <w:instrText xml:space="preserve"> HYPERLINK "https://pqsuhhq8yu6.feishu.cn/wiki/WZmGwW8iMixFKgkxagJcAHK2nFc" \h </w:instrText>
      </w:r>
      <w:r>
        <w:fldChar w:fldCharType="separate"/>
      </w:r>
      <w:r>
        <w:rPr>
          <w:color w:val="000000" w:themeColor="text1"/>
          <w14:textFill>
            <w14:solidFill>
              <w14:schemeClr w14:val="tx1"/>
            </w14:solidFill>
          </w14:textFill>
        </w:rPr>
        <w:t xml:space="preserve">ZJZ/JL10-8检测标准台账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的非资质认定方法。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当样品委托合同中客户指定的方法在本中心标准汇总表中，实验室应采用客户指定的方法，不在中心资质认定能力附表中的标准方法，该领域授权签字人不能使用资质认定标志章。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如果客户指定的方法不适用或已过期，实验室应通知客户，如确认实施，执行</w:t>
      </w:r>
      <w:r>
        <w:fldChar w:fldCharType="begin"/>
      </w:r>
      <w:r>
        <w:instrText xml:space="preserve"> HYPERLINK "https://pqsuhhq8yu6.feishu.cn/wiki/Lw5VwlPNdik6MKkxrkkcpAfEnTf" \h </w:instrText>
      </w:r>
      <w:r>
        <w:fldChar w:fldCharType="separate"/>
      </w:r>
      <w:r>
        <w:rPr>
          <w:color w:val="000000" w:themeColor="text1"/>
          <w14:textFill>
            <w14:solidFill>
              <w14:schemeClr w14:val="tx1"/>
            </w14:solidFill>
          </w14:textFill>
        </w:rPr>
        <w:t xml:space="preserve">ZJZ/CX-22 检验/检测方法偏离控制程序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标准方法的方法验证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在引入新标准方法或现用标准方法换版之前，应对方法的适用性进行验证目前本站资源是否能够满足该方法的使用要求。</w:t>
      </w:r>
      <w:r>
        <w:rPr>
          <w:color w:val="000000" w:themeColor="text1"/>
          <w:highlight w:val="yellow"/>
          <w14:textFill>
            <w14:solidFill>
              <w14:schemeClr w14:val="tx1"/>
            </w14:solidFill>
          </w14:textFill>
        </w:rPr>
        <w:t xml:space="preserve">填写</w:t>
      </w:r>
      <w:r>
        <w:fldChar w:fldCharType="begin"/>
      </w:r>
      <w:r>
        <w:instrText xml:space="preserve"> HYPERLINK "https://pqsuhhq8yu6.feishu.cn/wiki/SsZcwoSo2itIqTkiYoBcJuWmnwb" \h </w:instrText>
      </w:r>
      <w:r>
        <w:fldChar w:fldCharType="separate"/>
      </w:r>
      <w:r>
        <w:rPr>
          <w:color w:val="000000" w:themeColor="text1"/>
          <w:highlight w:val="yellow"/>
          <w14:textFill>
            <w14:solidFill>
              <w14:schemeClr w14:val="tx1"/>
            </w14:solidFill>
          </w14:textFill>
        </w:rPr>
        <w:t xml:space="preserve">ZJZ/JL21-1</w:t>
      </w:r>
      <w:r>
        <w:rPr>
          <w:rFonts w:hint="eastAsia"/>
          <w:color w:val="000000" w:themeColor="text1"/>
          <w14:textFill>
            <w14:solidFill>
              <w14:schemeClr w14:val="tx1"/>
            </w14:solidFill>
          </w14:textFill>
        </w:rPr>
        <w:t xml:space="preserve">检测方法</w:t>
      </w:r>
      <w:r>
        <w:rPr>
          <w:rFonts w:hint="eastAsia"/>
          <w:color w:val="000000" w:themeColor="text1"/>
          <w:lang w:eastAsia="zh-CN"/>
          <w14:textFill>
            <w14:solidFill>
              <w14:schemeClr w14:val="tx1"/>
            </w14:solidFill>
          </w14:textFill>
        </w:rPr>
        <w:t xml:space="preserve">确认/验证</w:t>
      </w:r>
      <w:r>
        <w:rPr>
          <w:rFonts w:hint="eastAsia"/>
          <w:color w:val="000000" w:themeColor="text1"/>
          <w14:textFill>
            <w14:solidFill>
              <w14:schemeClr w14:val="tx1"/>
            </w14:solidFill>
          </w14:textFill>
        </w:rPr>
        <w:t xml:space="preserve">审批表</w:t>
      </w:r>
      <w:r>
        <w:rPr>
          <w:rFonts w:hint="eastAsia"/>
          <w:color w:val="000000" w:themeColor="text1"/>
          <w14:textFill>
            <w14:solidFill>
              <w14:schemeClr w14:val="tx1"/>
            </w14:solidFill>
          </w14:textFill>
        </w:rPr>
        <w:fldChar w:fldCharType="end"/>
      </w:r>
      <w:r>
        <w:rPr>
          <w:rFonts w:hint="eastAsia"/>
          <w:color w:val="000000" w:themeColor="text1"/>
          <w:highlight w:val="yellow"/>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验证的方法：</w:t>
      </w:r>
      <w:r>
        <w:rPr>
          <w:color w:val="000000" w:themeColor="text1"/>
          <w14:textFill>
            <w14:solidFill>
              <w14:schemeClr w14:val="tx1"/>
            </w14:solidFill>
          </w14:textFill>
        </w:rPr>
      </w:r>
    </w:p>
    <w:p>
      <w:pPr>
        <w:pStyle w:val="1996"/>
        <w:numPr>
          <w:ilvl w:val="0"/>
          <w:numId w:val="25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从人员、设备、物资、方法、环境、样品等方面能否满足标准的要求；</w:t>
      </w:r>
      <w:r>
        <w:rPr>
          <w:color w:val="000000" w:themeColor="text1"/>
          <w14:textFill>
            <w14:solidFill>
              <w14:schemeClr w14:val="tx1"/>
            </w14:solidFill>
          </w14:textFill>
        </w:rPr>
      </w:r>
    </w:p>
    <w:p>
      <w:pPr>
        <w:pStyle w:val="1996"/>
        <w:numPr>
          <w:ilvl w:val="0"/>
          <w:numId w:val="26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通过精密度、线性范围、检出限和定量限等方法特征指标证明结果的准确性和可靠性；</w:t>
      </w:r>
      <w:r>
        <w:rPr>
          <w:color w:val="000000" w:themeColor="text1"/>
          <w14:textFill>
            <w14:solidFill>
              <w14:schemeClr w14:val="tx1"/>
            </w14:solidFill>
          </w14:textFill>
        </w:rPr>
      </w:r>
    </w:p>
    <w:p>
      <w:pPr>
        <w:pStyle w:val="1996"/>
        <w:numPr>
          <w:ilvl w:val="0"/>
          <w:numId w:val="26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必要时应进行能力验证或实验室间比对。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方法验证一般由实验室室主任或经过授权的验证人员实施。验证时填写</w:t>
      </w:r>
      <w:r>
        <w:fldChar w:fldCharType="begin"/>
      </w:r>
      <w:r>
        <w:instrText xml:space="preserve"> HYPERLINK "https://pqsuhhq8yu6.feishu.cn/wiki/NpL3wIzrPiYy6lk1KiUcUlRLnxp" \h </w:instrText>
      </w:r>
      <w:r>
        <w:fldChar w:fldCharType="separate"/>
      </w:r>
      <w:r>
        <w:rPr>
          <w:color w:val="000000" w:themeColor="text1"/>
          <w14:textFill>
            <w14:solidFill>
              <w14:schemeClr w14:val="tx1"/>
            </w14:solidFill>
          </w14:textFill>
        </w:rPr>
        <w:t xml:space="preserve">ZJZ/JL 21-1 标准方法验证表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，提交技术负责人审批。</w:t>
      </w:r>
      <w:r>
        <w:rPr>
          <w:color w:val="000000" w:themeColor="text1"/>
          <w14:textFill>
            <w14:solidFill>
              <w14:schemeClr w14:val="tx1"/>
            </w14:solidFill>
          </w14:textFill>
        </w:rPr>
      </w:r>
    </w:p>
    <w:p>
      <w:pPr>
        <w:pBdr/>
        <w:spacing/>
        <w:ind/>
        <w:rPr>
          <w:strike/>
          <w:color w:val="000000" w:themeColor="text1"/>
          <w14:textFill>
            <w14:solidFill>
              <w14:schemeClr w14:val="tx1"/>
            </w14:solidFill>
          </w14:textFill>
        </w:rPr>
      </w:pPr>
      <w:r>
        <w:rPr>
          <w:strike/>
          <w:color w:val="000000" w:themeColor="text1"/>
          <w14:textFill>
            <w14:solidFill>
              <w14:schemeClr w14:val="tx1"/>
            </w14:solidFill>
          </w14:textFill>
        </w:rPr>
        <w:t xml:space="preserve">4.4.4 如果标准方法发生了变更或修订，应针对变更或修订的内容所需的资源重新进行验证，</w:t>
      </w:r>
      <w:r>
        <w:rPr>
          <w:strike/>
          <w:color w:val="000000" w:themeColor="text1"/>
          <w:highlight w:val="yellow"/>
          <w14:textFill>
            <w14:solidFill>
              <w14:schemeClr w14:val="tx1"/>
            </w14:solidFill>
          </w14:textFill>
        </w:rPr>
        <w:t xml:space="preserve">填写</w:t>
      </w:r>
      <w:r>
        <w:fldChar w:fldCharType="begin"/>
      </w:r>
      <w:r>
        <w:instrText xml:space="preserve"> HYPERLINK "https://pqsuhhq8yu6.feishu.cn/wiki/NpL3wIzrPiYy6lk1KiUcUlRLnxp" \h </w:instrText>
      </w:r>
      <w:r>
        <w:fldChar w:fldCharType="separate"/>
      </w:r>
      <w:r>
        <w:rPr>
          <w:strike/>
          <w:color w:val="000000" w:themeColor="text1"/>
          <w:highlight w:val="yellow"/>
          <w14:textFill>
            <w14:solidFill>
              <w14:schemeClr w14:val="tx1"/>
            </w14:solidFill>
          </w14:textFill>
        </w:rPr>
        <w:t xml:space="preserve">ZJZ/JL 21-2 标准方法验证记录表</w:t>
      </w:r>
      <w:r>
        <w:rPr>
          <w:strike/>
          <w:color w:val="000000" w:themeColor="text1"/>
          <w:highlight w:val="yellow"/>
          <w14:textFill>
            <w14:solidFill>
              <w14:schemeClr w14:val="tx1"/>
            </w14:solidFill>
          </w14:textFill>
        </w:rPr>
        <w:fldChar w:fldCharType="end"/>
      </w:r>
      <w:r>
        <w:rPr>
          <w:strike/>
          <w:color w:val="000000" w:themeColor="text1"/>
          <w14:textFill>
            <w14:solidFill>
              <w14:schemeClr w14:val="tx1"/>
            </w14:solidFill>
          </w14:textFill>
        </w:rPr>
        <w:t xml:space="preserve">。如果标准方法仅发生了编辑性修改，仅需要确认和宣贯，无需开展实验验证。如果技术方法发生了变化，应开展实验验证。</w:t>
      </w:r>
      <w:r>
        <w:rPr>
          <w:strike/>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非标准方法的确认和验证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技术负责人负责组织各实验室室主任、实验检测技术中心该领域专家对非标准方法进行确认。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非标准方法确认步骤：</w:t>
      </w:r>
      <w:r>
        <w:rPr>
          <w:color w:val="000000" w:themeColor="text1"/>
          <w14:textFill>
            <w14:solidFill>
              <w14:schemeClr w14:val="tx1"/>
            </w14:solidFill>
          </w14:textFill>
        </w:rPr>
      </w:r>
    </w:p>
    <w:p>
      <w:pPr>
        <w:pStyle w:val="1996"/>
        <w:numPr>
          <w:ilvl w:val="0"/>
          <w:numId w:val="26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首先要详细说明方法的用途，如方法的预期用途、适用范围、客户的要求等；</w:t>
      </w:r>
      <w:r>
        <w:rPr>
          <w:color w:val="000000" w:themeColor="text1"/>
          <w14:textFill>
            <w14:solidFill>
              <w14:schemeClr w14:val="tx1"/>
            </w14:solidFill>
          </w14:textFill>
        </w:rPr>
      </w:r>
    </w:p>
    <w:p>
      <w:pPr>
        <w:pStyle w:val="1996"/>
        <w:numPr>
          <w:ilvl w:val="0"/>
          <w:numId w:val="26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确定检验检测方法的特性，如测量不确定度、准确度、检出限、方法的选择性、线性、重复性限、再现性限；抵抗来自样品的基体干扰的交互灵敏度。</w:t>
      </w:r>
      <w:r>
        <w:rPr>
          <w:color w:val="000000" w:themeColor="text1"/>
          <w14:textFill>
            <w14:solidFill>
              <w14:schemeClr w14:val="tx1"/>
            </w14:solidFill>
          </w14:textFill>
        </w:rPr>
      </w:r>
    </w:p>
    <w:p>
      <w:pPr>
        <w:pStyle w:val="1996"/>
        <w:numPr>
          <w:ilvl w:val="0"/>
          <w:numId w:val="26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对方法能否满足预期要求进行评价。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非标准方法确认应使用以下一种或多种技术进行方法确认：</w:t>
      </w:r>
      <w:r>
        <w:rPr>
          <w:color w:val="000000" w:themeColor="text1"/>
          <w14:textFill>
            <w14:solidFill>
              <w14:schemeClr w14:val="tx1"/>
            </w14:solidFill>
          </w14:textFill>
        </w:rPr>
      </w:r>
    </w:p>
    <w:p>
      <w:pPr>
        <w:pStyle w:val="1996"/>
        <w:numPr>
          <w:ilvl w:val="0"/>
          <w:numId w:val="26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使用有证标准物质评估重复性和准确性；</w:t>
      </w:r>
      <w:r>
        <w:rPr>
          <w:color w:val="000000" w:themeColor="text1"/>
          <w14:textFill>
            <w14:solidFill>
              <w14:schemeClr w14:val="tx1"/>
            </w14:solidFill>
          </w14:textFill>
        </w:rPr>
      </w:r>
    </w:p>
    <w:p>
      <w:pPr>
        <w:pStyle w:val="1996"/>
        <w:numPr>
          <w:ilvl w:val="0"/>
          <w:numId w:val="26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影响结果的因素进行系统性评审；</w:t>
      </w:r>
      <w:r>
        <w:rPr>
          <w:color w:val="000000" w:themeColor="text1"/>
          <w14:textFill>
            <w14:solidFill>
              <w14:schemeClr w14:val="tx1"/>
            </w14:solidFill>
          </w14:textFill>
        </w:rPr>
      </w:r>
    </w:p>
    <w:p>
      <w:pPr>
        <w:pStyle w:val="1996"/>
        <w:numPr>
          <w:ilvl w:val="0"/>
          <w:numId w:val="26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通过改变控制检验检测方法的稳健度，如加样体积等；</w:t>
      </w:r>
      <w:r>
        <w:rPr>
          <w:color w:val="000000" w:themeColor="text1"/>
          <w14:textFill>
            <w14:solidFill>
              <w14:schemeClr w14:val="tx1"/>
            </w14:solidFill>
          </w14:textFill>
        </w:rPr>
      </w:r>
    </w:p>
    <w:p>
      <w:pPr>
        <w:pStyle w:val="1996"/>
        <w:numPr>
          <w:ilvl w:val="0"/>
          <w:numId w:val="26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与其他已确认的方法进行结果比对；</w:t>
      </w:r>
      <w:r>
        <w:rPr>
          <w:color w:val="000000" w:themeColor="text1"/>
          <w14:textFill>
            <w14:solidFill>
              <w14:schemeClr w14:val="tx1"/>
            </w14:solidFill>
          </w14:textFill>
        </w:rPr>
      </w:r>
    </w:p>
    <w:p>
      <w:pPr>
        <w:pStyle w:val="1996"/>
        <w:numPr>
          <w:ilvl w:val="0"/>
          <w:numId w:val="26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能力验证或实验室间比对；</w:t>
      </w:r>
      <w:r>
        <w:rPr>
          <w:color w:val="000000" w:themeColor="text1"/>
          <w14:textFill>
            <w14:solidFill>
              <w14:schemeClr w14:val="tx1"/>
            </w14:solidFill>
          </w14:textFill>
        </w:rPr>
      </w:r>
    </w:p>
    <w:p>
      <w:pPr>
        <w:pStyle w:val="1996"/>
        <w:numPr>
          <w:ilvl w:val="0"/>
          <w:numId w:val="27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对方法理论原理和实践经验科学理解，对所得结果的不确定度进行评估。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经实验室室主任或授权人员确认有效的非标准方法，填写</w:t>
      </w:r>
      <w:r>
        <w:fldChar w:fldCharType="begin"/>
      </w:r>
      <w:r>
        <w:instrText xml:space="preserve"> HYPERLINK "https://pqsuhhq8yu6.feishu.cn/wiki/DccHwro1iiz0xGkcJzIczP6MnCc" \h </w:instrText>
      </w:r>
      <w:r>
        <w:fldChar w:fldCharType="separate"/>
      </w:r>
      <w:r>
        <w:rPr>
          <w:color w:val="000000" w:themeColor="text1"/>
          <w14:textFill>
            <w14:solidFill>
              <w14:schemeClr w14:val="tx1"/>
            </w14:solidFill>
          </w14:textFill>
        </w:rPr>
        <w:t xml:space="preserve">ZJZ/JL 21-3 非标准方法确认记录表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，由技术负责人组织评审后批准生效。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4.5.5 当已确认的方法发生修改时，应重新进行方法确认。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4.5.6 实验室应保存以下非标准方法的确认记录：</w:t>
      </w:r>
      <w:r>
        <w:rPr>
          <w:color w:val="000000" w:themeColor="text1"/>
          <w14:textFill>
            <w14:solidFill>
              <w14:schemeClr w14:val="tx1"/>
            </w14:solidFill>
          </w14:textFill>
        </w:rPr>
      </w:r>
    </w:p>
    <w:p>
      <w:pPr>
        <w:pStyle w:val="1996"/>
        <w:numPr>
          <w:ilvl w:val="0"/>
          <w:numId w:val="27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使用的确认程序；</w:t>
      </w:r>
      <w:r>
        <w:rPr>
          <w:color w:val="000000" w:themeColor="text1"/>
          <w14:textFill>
            <w14:solidFill>
              <w14:schemeClr w14:val="tx1"/>
            </w14:solidFill>
          </w14:textFill>
        </w:rPr>
      </w:r>
    </w:p>
    <w:p>
      <w:pPr>
        <w:pStyle w:val="1996"/>
        <w:numPr>
          <w:ilvl w:val="0"/>
          <w:numId w:val="27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规定的要求；</w:t>
      </w:r>
      <w:r>
        <w:rPr>
          <w:color w:val="000000" w:themeColor="text1"/>
          <w14:textFill>
            <w14:solidFill>
              <w14:schemeClr w14:val="tx1"/>
            </w14:solidFill>
          </w14:textFill>
        </w:rPr>
      </w:r>
    </w:p>
    <w:p>
      <w:pPr>
        <w:pStyle w:val="1996"/>
        <w:numPr>
          <w:ilvl w:val="0"/>
          <w:numId w:val="27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确定的方法性能特性；</w:t>
      </w:r>
      <w:r>
        <w:rPr>
          <w:color w:val="000000" w:themeColor="text1"/>
          <w14:textFill>
            <w14:solidFill>
              <w14:schemeClr w14:val="tx1"/>
            </w14:solidFill>
          </w14:textFill>
        </w:rPr>
      </w:r>
    </w:p>
    <w:p>
      <w:pPr>
        <w:pStyle w:val="1996"/>
        <w:numPr>
          <w:ilvl w:val="0"/>
          <w:numId w:val="27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获得的结果；</w:t>
      </w:r>
      <w:r>
        <w:rPr>
          <w:color w:val="000000" w:themeColor="text1"/>
          <w14:textFill>
            <w14:solidFill>
              <w14:schemeClr w14:val="tx1"/>
            </w14:solidFill>
          </w14:textFill>
        </w:rPr>
      </w:r>
    </w:p>
    <w:p>
      <w:pPr>
        <w:pStyle w:val="1996"/>
        <w:numPr>
          <w:ilvl w:val="0"/>
          <w:numId w:val="27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描述该方法满足预期用途的有效性声明。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自制方法的编制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自制方法的申请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各实验室根据检验检测工作需要，经检索无现行公开方法标准时，可制定供其内部使用的检测方法，填写</w:t>
      </w:r>
      <w:r>
        <w:fldChar w:fldCharType="begin"/>
      </w:r>
      <w:r>
        <w:instrText xml:space="preserve"> HYPERLINK "https://pqsuhhq8yu6.feishu.cn/wiki/OiE9wBpo6ikVJ4klxF5cNxj4nnf" \h </w:instrText>
      </w:r>
      <w:r>
        <w:fldChar w:fldCharType="separate"/>
      </w:r>
      <w:r>
        <w:rPr>
          <w:color w:val="000000" w:themeColor="text1"/>
          <w14:textFill>
            <w14:solidFill>
              <w14:schemeClr w14:val="tx1"/>
            </w14:solidFill>
          </w14:textFill>
        </w:rPr>
        <w:t xml:space="preserve">ZJZ/JL 21-5 自制方法申请表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，经技术负责人审批后，实验室室主任组织岗位人员实施自制方法的开发，技术负责人应为其配备足够的资源。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4.6.2 自制方法的开发</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实验室室主任组织岗位人员进行方法开发，必要时编制开发方案。在方法开发过程中，应组织开发人员进行充分交流，并定期向技术负责人汇报开发进度，开发计划的任何变更应得到技术负责人的许可。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4.6.3 自制方法的编制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方法开发完毕后，实验室室主任负责组织岗位人员编制实验检测技术中心自制方法，自制方法的结构和起草规则参考《GB/T 1.1 标准化工作导则》。中心自制方法代号由：Z（</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自</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拼音缩写）/SYZX（</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实验中心</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拼音缩写）+顺序号-年代号组成。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4.6.4 自制方法正文至少应包括以下信息：</w:t>
      </w:r>
      <w:r>
        <w:rPr>
          <w:color w:val="000000" w:themeColor="text1"/>
          <w14:textFill>
            <w14:solidFill>
              <w14:schemeClr w14:val="tx1"/>
            </w14:solidFill>
          </w14:textFill>
        </w:rPr>
      </w:r>
    </w:p>
    <w:p>
      <w:pPr>
        <w:pStyle w:val="1996"/>
        <w:numPr>
          <w:ilvl w:val="0"/>
          <w:numId w:val="27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范围（包含被检验检测样品类型的描述）；</w:t>
      </w:r>
      <w:r>
        <w:rPr>
          <w:color w:val="000000" w:themeColor="text1"/>
          <w14:textFill>
            <w14:solidFill>
              <w14:schemeClr w14:val="tx1"/>
            </w14:solidFill>
          </w14:textFill>
        </w:rPr>
      </w:r>
    </w:p>
    <w:p>
      <w:pPr>
        <w:pStyle w:val="1996"/>
        <w:numPr>
          <w:ilvl w:val="0"/>
          <w:numId w:val="27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规范性引用文件（适用时）；</w:t>
      </w:r>
      <w:r>
        <w:rPr>
          <w:color w:val="000000" w:themeColor="text1"/>
          <w14:textFill>
            <w14:solidFill>
              <w14:schemeClr w14:val="tx1"/>
            </w14:solidFill>
          </w14:textFill>
        </w:rPr>
      </w:r>
    </w:p>
    <w:p>
      <w:pPr>
        <w:pStyle w:val="1996"/>
        <w:numPr>
          <w:ilvl w:val="0"/>
          <w:numId w:val="27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术语和定义（适用时）；</w:t>
      </w:r>
      <w:r>
        <w:rPr>
          <w:color w:val="000000" w:themeColor="text1"/>
          <w14:textFill>
            <w14:solidFill>
              <w14:schemeClr w14:val="tx1"/>
            </w14:solidFill>
          </w14:textFill>
        </w:rPr>
      </w:r>
    </w:p>
    <w:p>
      <w:pPr>
        <w:pStyle w:val="1996"/>
        <w:numPr>
          <w:ilvl w:val="0"/>
          <w:numId w:val="27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方法原理；</w:t>
      </w:r>
      <w:r>
        <w:rPr>
          <w:color w:val="000000" w:themeColor="text1"/>
          <w14:textFill>
            <w14:solidFill>
              <w14:schemeClr w14:val="tx1"/>
            </w14:solidFill>
          </w14:textFill>
        </w:rPr>
      </w:r>
    </w:p>
    <w:p>
      <w:pPr>
        <w:pStyle w:val="1996"/>
        <w:numPr>
          <w:ilvl w:val="0"/>
          <w:numId w:val="28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仪器和设备，包括技术性能要求；</w:t>
      </w:r>
      <w:r>
        <w:rPr>
          <w:color w:val="000000" w:themeColor="text1"/>
          <w14:textFill>
            <w14:solidFill>
              <w14:schemeClr w14:val="tx1"/>
            </w14:solidFill>
          </w14:textFill>
        </w:rPr>
      </w:r>
    </w:p>
    <w:p>
      <w:pPr>
        <w:pStyle w:val="1996"/>
        <w:numPr>
          <w:ilvl w:val="0"/>
          <w:numId w:val="28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试剂和材料，包含所需的参考标准和标准物质；</w:t>
      </w:r>
      <w:r>
        <w:rPr>
          <w:color w:val="000000" w:themeColor="text1"/>
          <w14:textFill>
            <w14:solidFill>
              <w14:schemeClr w14:val="tx1"/>
            </w14:solidFill>
          </w14:textFill>
        </w:rPr>
      </w:r>
    </w:p>
    <w:p>
      <w:pPr>
        <w:pStyle w:val="1996"/>
        <w:numPr>
          <w:ilvl w:val="0"/>
          <w:numId w:val="28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实验的描述，包括： </w:t>
      </w:r>
      <w:r>
        <w:rPr>
          <w:color w:val="000000" w:themeColor="text1"/>
          <w14:textFill>
            <w14:solidFill>
              <w14:schemeClr w14:val="tx1"/>
            </w14:solidFill>
          </w14:textFill>
        </w:rPr>
      </w:r>
    </w:p>
    <w:p>
      <w:pPr>
        <w:pStyle w:val="1996"/>
        <w:numPr>
          <w:ilvl w:val="0"/>
          <w:numId w:val="28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——样品的准备（适用时）； </w:t>
      </w:r>
      <w:r>
        <w:rPr>
          <w:color w:val="000000" w:themeColor="text1"/>
          <w14:textFill>
            <w14:solidFill>
              <w14:schemeClr w14:val="tx1"/>
            </w14:solidFill>
          </w14:textFill>
        </w:rPr>
      </w:r>
    </w:p>
    <w:p>
      <w:pPr>
        <w:pStyle w:val="1996"/>
        <w:numPr>
          <w:ilvl w:val="0"/>
          <w:numId w:val="28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——实验开始前所进行的准备（适用时）；</w:t>
      </w:r>
      <w:r>
        <w:rPr>
          <w:color w:val="000000" w:themeColor="text1"/>
          <w14:textFill>
            <w14:solidFill>
              <w14:schemeClr w14:val="tx1"/>
            </w14:solidFill>
          </w14:textFill>
        </w:rPr>
      </w:r>
    </w:p>
    <w:p>
      <w:pPr>
        <w:pStyle w:val="1996"/>
        <w:numPr>
          <w:ilvl w:val="0"/>
          <w:numId w:val="28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——要求的环境条件和所需的稳定周期（适用时）；</w:t>
      </w:r>
      <w:r>
        <w:rPr>
          <w:color w:val="000000" w:themeColor="text1"/>
          <w14:textFill>
            <w14:solidFill>
              <w14:schemeClr w14:val="tx1"/>
            </w14:solidFill>
          </w14:textFill>
        </w:rPr>
      </w:r>
    </w:p>
    <w:p>
      <w:pPr>
        <w:pStyle w:val="1996"/>
        <w:numPr>
          <w:ilvl w:val="0"/>
          <w:numId w:val="28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——操作的详细步骤；</w:t>
      </w:r>
      <w:r>
        <w:rPr>
          <w:color w:val="000000" w:themeColor="text1"/>
          <w14:textFill>
            <w14:solidFill>
              <w14:schemeClr w14:val="tx1"/>
            </w14:solidFill>
          </w14:textFill>
        </w:rPr>
      </w:r>
    </w:p>
    <w:p>
      <w:pPr>
        <w:pStyle w:val="1996"/>
        <w:numPr>
          <w:ilvl w:val="0"/>
          <w:numId w:val="28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——观察和结果的记录方法；</w:t>
      </w:r>
      <w:r>
        <w:rPr>
          <w:color w:val="000000" w:themeColor="text1"/>
          <w14:textFill>
            <w14:solidFill>
              <w14:schemeClr w14:val="tx1"/>
            </w14:solidFill>
          </w14:textFill>
        </w:rPr>
      </w:r>
    </w:p>
    <w:p>
      <w:pPr>
        <w:pStyle w:val="1996"/>
        <w:numPr>
          <w:ilvl w:val="0"/>
          <w:numId w:val="28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——需遵循的安全措施（适用时）；</w:t>
      </w:r>
      <w:r>
        <w:rPr>
          <w:color w:val="000000" w:themeColor="text1"/>
          <w14:textFill>
            <w14:solidFill>
              <w14:schemeClr w14:val="tx1"/>
            </w14:solidFill>
          </w14:textFill>
        </w:rPr>
      </w:r>
    </w:p>
    <w:p>
      <w:pPr>
        <w:pStyle w:val="1996"/>
        <w:numPr>
          <w:ilvl w:val="0"/>
          <w:numId w:val="28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数据的分析或表达的方法；</w:t>
      </w:r>
      <w:r>
        <w:rPr>
          <w:color w:val="000000" w:themeColor="text1"/>
          <w14:textFill>
            <w14:solidFill>
              <w14:schemeClr w14:val="tx1"/>
            </w14:solidFill>
          </w14:textFill>
        </w:rPr>
      </w:r>
    </w:p>
    <w:p>
      <w:pPr>
        <w:pStyle w:val="1996"/>
        <w:numPr>
          <w:ilvl w:val="0"/>
          <w:numId w:val="29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质量控制，如精密度要求（适用时）；</w:t>
      </w:r>
      <w:r>
        <w:rPr>
          <w:color w:val="000000" w:themeColor="text1"/>
          <w14:textFill>
            <w14:solidFill>
              <w14:schemeClr w14:val="tx1"/>
            </w14:solidFill>
          </w14:textFill>
        </w:rPr>
      </w:r>
    </w:p>
    <w:p>
      <w:pPr>
        <w:pStyle w:val="1996"/>
        <w:numPr>
          <w:ilvl w:val="0"/>
          <w:numId w:val="29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结果的报出；</w:t>
      </w:r>
      <w:r>
        <w:rPr>
          <w:color w:val="000000" w:themeColor="text1"/>
          <w14:textFill>
            <w14:solidFill>
              <w14:schemeClr w14:val="tx1"/>
            </w14:solidFill>
          </w14:textFill>
        </w:rPr>
      </w:r>
    </w:p>
    <w:p>
      <w:pPr>
        <w:pStyle w:val="1996"/>
        <w:numPr>
          <w:ilvl w:val="0"/>
          <w:numId w:val="29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资料性附录。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4.6.5 自制方法的评审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自制方法编写完成后，上报实验检测技术中心生产运行室组织评审。技术负责人组织相关技术人员根据4.5.2-4.5.6的要求进行方法确认和验证，填写</w:t>
      </w:r>
      <w:r>
        <w:fldChar w:fldCharType="begin"/>
      </w:r>
      <w:r>
        <w:instrText xml:space="preserve"> HYPERLINK "https://pqsuhhq8yu6.feishu.cn/wiki/BFumwF8Z7iJXx5k0eSOcJYrLnMv" \h </w:instrText>
      </w:r>
      <w:r>
        <w:fldChar w:fldCharType="separate"/>
      </w:r>
      <w:r>
        <w:rPr>
          <w:color w:val="000000" w:themeColor="text1"/>
          <w14:textFill>
            <w14:solidFill>
              <w14:schemeClr w14:val="tx1"/>
            </w14:solidFill>
          </w14:textFill>
        </w:rPr>
        <w:t xml:space="preserve">ZJZ/JL 21-6 实验检测技术中心自制方法评审表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。如评审未通过，则授权人员根据评审意见对自制方法进行修改和完善，继续执行4.6.4条款，直至评审通过或否定该方法。评审通过后的自制方法，经技术负责人批准后发布实施。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4.6.5 自制方法的管理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自制方法的管理执行</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。实验室室主任负责组织自制方法的宣贯工作，做好宣贯记录，交资料管理岗存档。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 新检测项目的建立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4.7.1 当需要开展新的检验检测项目时，各实验室室主任制定检验检测新项目的实施计划，并填写</w:t>
      </w:r>
      <w:r>
        <w:fldChar w:fldCharType="begin"/>
      </w:r>
      <w:r>
        <w:instrText xml:space="preserve"> HYPERLINK "https://pqsuhhq8yu6.feishu.cn/wiki/CcxvwA7f1imDnzkwExzclBZWnBn" \h </w:instrText>
      </w:r>
      <w:r>
        <w:fldChar w:fldCharType="separate"/>
      </w:r>
      <w:r>
        <w:rPr>
          <w:color w:val="000000" w:themeColor="text1"/>
          <w:highlight w:val="yellow"/>
          <w14:textFill>
            <w14:solidFill>
              <w14:schemeClr w14:val="tx1"/>
            </w14:solidFill>
          </w14:textFill>
        </w:rPr>
        <w:t xml:space="preserve">ZJZ/JL 21-4 开展新检测项目立项审批表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t xml:space="preserve">，由技术负责人审批。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4.7.2 实验室室主任负责组织开展新项目实施前的评审活动。如：收集承检标准或检测方法、确定配置的仪器设备和消耗品、制定环境设施的控制标准、建立仪器设备的补充档案、人员培训、开展人员比对等。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4.7.3 对开展新项目采用的检验检测方法应进行验证或确认，执行本程序《4.4 标准方法的验证》或《4.5 非标准方法的确认》或《4.6 实验室自制的方法》程序，符合要求后经技术负责人批准后使用。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 </w:t>
      </w:r>
      <w:r>
        <w:rPr>
          <w:b/>
          <w:color w:val="000000" w:themeColor="text1"/>
          <w14:textFill>
            <w14:solidFill>
              <w14:schemeClr w14:val="tx1"/>
            </w14:solidFill>
          </w14:textFill>
        </w:rPr>
        <w:t xml:space="preserve">方法偏离</w:t>
      </w:r>
      <w:r>
        <w:rPr>
          <w:color w:val="000000" w:themeColor="text1"/>
          <w14:textFill>
            <w14:solidFill>
              <w14:schemeClr w14:val="tx1"/>
            </w14:solidFill>
          </w14:textFill>
        </w:rPr>
      </w:r>
    </w:p>
    <w:p>
      <w:pPr>
        <w:pBdr/>
        <w:spacing/>
        <w:ind w:firstLine="440"/>
        <w:rPr>
          <w:color w:val="000000" w:themeColor="text1"/>
          <w14:textFill>
            <w14:solidFill>
              <w14:schemeClr w14:val="tx1"/>
            </w14:solidFill>
          </w14:textFill>
        </w:rPr>
      </w:pPr>
      <w:r>
        <w:rPr>
          <w:color w:val="000000" w:themeColor="text1"/>
          <w14:textFill>
            <w14:solidFill>
              <w14:schemeClr w14:val="tx1"/>
            </w14:solidFill>
          </w14:textFill>
        </w:rPr>
        <w:t xml:space="preserve">对检验检测活动方法的偏离，应事先将该偏离形成作业指导书，技术负责人组织实验室室主任及岗位人员做技术判断，不会影响检测结果正确性的情况下，获得授权并被客户接受。偏离必须在规定的测量范围或允许误差之内、限于规定的数量和规定的时间段（某客户、某任务），执行</w:t>
      </w:r>
      <w:r>
        <w:fldChar w:fldCharType="begin"/>
      </w:r>
      <w:r>
        <w:instrText xml:space="preserve"> HYPERLINK "https://pqsuhhq8yu6.feishu.cn/wiki/Lw5VwlPNdik6MKkxrkkcpAfEnTf" \h </w:instrText>
      </w:r>
      <w:r>
        <w:fldChar w:fldCharType="separate"/>
      </w:r>
      <w:r>
        <w:rPr>
          <w:color w:val="000000" w:themeColor="text1"/>
          <w14:textFill>
            <w14:solidFill>
              <w14:schemeClr w14:val="tx1"/>
            </w14:solidFill>
          </w14:textFill>
        </w:rPr>
        <w:t xml:space="preserve">ZJZ/CX-22 检验/检测方法偏离控制程序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注：客户接受偏离可以事先在委托合同中约定。</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支持性文件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"https://pqsuhhq8yu6.feishu.cn/wiki/Lw5VwlPNdik6MKkxrkkcpAfEnTf" \h </w:instrText>
      </w:r>
      <w:r>
        <w:fldChar w:fldCharType="separate"/>
      </w:r>
      <w:r>
        <w:rPr>
          <w:color w:val="000000" w:themeColor="text1"/>
          <w14:textFill>
            <w14:solidFill>
              <w14:schemeClr w14:val="tx1"/>
            </w14:solidFill>
          </w14:textFill>
        </w:rPr>
        <w:t xml:space="preserve">ZJZ/CX-22 检验/检测方法偏离控制程序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 1.1 标准化工作导则》</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"https://pqsuhhq8yu6.feishu.cn/wiki/SsZcwoSo2itIqTkiYoBcJuWmnwb" \h </w:instrText>
      </w:r>
      <w:r>
        <w:fldChar w:fldCharType="separate"/>
      </w:r>
      <w:r>
        <w:rPr>
          <w:color w:val="000000" w:themeColor="text1"/>
          <w:highlight w:val="yellow"/>
          <w14:textFill>
            <w14:solidFill>
              <w14:schemeClr w14:val="tx1"/>
            </w14:solidFill>
          </w14:textFill>
        </w:rPr>
        <w:t xml:space="preserve">ZJZ/JL21-1</w:t>
      </w:r>
      <w:r>
        <w:rPr>
          <w:rFonts w:hint="eastAsia"/>
          <w:color w:val="000000" w:themeColor="text1"/>
          <w14:textFill>
            <w14:solidFill>
              <w14:schemeClr w14:val="tx1"/>
            </w14:solidFill>
          </w14:textFill>
        </w:rPr>
        <w:t xml:space="preserve">检测方法</w:t>
      </w:r>
      <w:r>
        <w:rPr>
          <w:rFonts w:hint="eastAsia"/>
          <w:color w:val="000000" w:themeColor="text1"/>
          <w:lang w:eastAsia="zh-CN"/>
          <w14:textFill>
            <w14:solidFill>
              <w14:schemeClr w14:val="tx1"/>
            </w14:solidFill>
          </w14:textFill>
        </w:rPr>
        <w:t xml:space="preserve">确认/验证</w:t>
      </w:r>
      <w:r>
        <w:rPr>
          <w:rFonts w:hint="eastAsia"/>
          <w:color w:val="000000" w:themeColor="text1"/>
          <w14:textFill>
            <w14:solidFill>
              <w14:schemeClr w14:val="tx1"/>
            </w14:solidFill>
          </w14:textFill>
        </w:rPr>
        <w:t xml:space="preserve">审批表</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"https://pqsuhhq8yu6.feishu.cn/wiki/SSe5wOdAYiFbGfkQ1cPctVkMnTb" \h </w:instrText>
      </w:r>
      <w:r>
        <w:fldChar w:fldCharType="separate"/>
      </w:r>
      <w:r>
        <w:rPr>
          <w:color w:val="000000" w:themeColor="text1"/>
          <w14:textFill>
            <w14:solidFill>
              <w14:schemeClr w14:val="tx1"/>
            </w14:solidFill>
          </w14:textFill>
        </w:rPr>
        <w:t xml:space="preserve">ZJZ/JL 03-5 培训记录表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"https://pqsuhhq8yu6.feishu.cn/wiki/WZmGwW8iMixFKgkxagJcAHK2nFc" \h </w:instrText>
      </w:r>
      <w:r>
        <w:fldChar w:fldCharType="separate"/>
      </w:r>
      <w:r>
        <w:rPr>
          <w:color w:val="000000" w:themeColor="text1"/>
          <w14:textFill>
            <w14:solidFill>
              <w14:schemeClr w14:val="tx1"/>
            </w14:solidFill>
          </w14:textFill>
        </w:rPr>
        <w:t xml:space="preserve">ZJZ/JL10-8检测标准台账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"https://pqsuhhq8yu6.feishu.cn/wiki/DccHwro1iiz0xGkcJzIczP6MnCc" \h </w:instrText>
      </w:r>
      <w:r>
        <w:fldChar w:fldCharType="separate"/>
      </w:r>
      <w:r>
        <w:rPr>
          <w:color w:val="000000" w:themeColor="text1"/>
          <w:highlight w:val="yellow"/>
          <w14:textFill>
            <w14:solidFill>
              <w14:schemeClr w14:val="tx1"/>
            </w14:solidFill>
          </w14:textFill>
        </w:rPr>
        <w:t xml:space="preserve">ZJZ/JL 21-3 非标准方法确认记录表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"https://pqsuhhq8yu6.feishu.cn/wiki/CcxvwA7f1imDnzkwExzclBZWnBn" \h </w:instrText>
      </w:r>
      <w:r>
        <w:fldChar w:fldCharType="separate"/>
      </w:r>
      <w:r>
        <w:rPr>
          <w:color w:val="000000" w:themeColor="text1"/>
          <w:highlight w:val="yellow"/>
          <w14:textFill>
            <w14:solidFill>
              <w14:schemeClr w14:val="tx1"/>
            </w14:solidFill>
          </w14:textFill>
        </w:rPr>
        <w:t xml:space="preserve">ZJZ/JL 21-4 开展新检测项目立项审批表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highlight w:val="yellow"/>
          <w14:textFill>
            <w14:solidFill>
              <w14:schemeClr w14:val="tx1"/>
            </w14:solidFill>
          </w14:textFill>
        </w:rPr>
      </w:pPr>
      <w:r>
        <w:fldChar w:fldCharType="begin"/>
      </w:r>
      <w:r>
        <w:instrText xml:space="preserve"> HYPERLINK "https://pqsuhhq8yu6.feishu.cn/wiki/OiE9wBpo6ikVJ4klxF5cNxj4nnf" \h </w:instrText>
      </w:r>
      <w:r>
        <w:fldChar w:fldCharType="separate"/>
      </w:r>
      <w:r>
        <w:rPr>
          <w:color w:val="000000" w:themeColor="text1"/>
          <w:highlight w:val="yellow"/>
          <w14:textFill>
            <w14:solidFill>
              <w14:schemeClr w14:val="tx1"/>
            </w14:solidFill>
          </w14:textFill>
        </w:rPr>
        <w:t xml:space="preserve">ZJZ/JL 21-5 自制方法申请表</w:t>
      </w:r>
      <w:r>
        <w:rPr>
          <w:color w:val="000000" w:themeColor="text1"/>
          <w:highlight w:val="yellow"/>
          <w14:textFill>
            <w14:solidFill>
              <w14:schemeClr w14:val="tx1"/>
            </w14:solidFill>
          </w14:textFill>
        </w:rPr>
        <w:fldChar w:fldCharType="end"/>
      </w:r>
      <w:r>
        <w:rPr>
          <w:color w:val="000000" w:themeColor="text1"/>
          <w:highlight w:val="yellow"/>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"https://pqsuhhq8yu6.feishu.cn/wiki/BFumwF8Z7iJXx5k0eSOcJYrLnMv" \h </w:instrText>
      </w:r>
      <w:r>
        <w:fldChar w:fldCharType="separate"/>
      </w:r>
      <w:r>
        <w:rPr>
          <w:color w:val="000000" w:themeColor="text1"/>
          <w:highlight w:val="yellow"/>
          <w14:textFill>
            <w14:solidFill>
              <w14:schemeClr w14:val="tx1"/>
            </w14:solidFill>
          </w14:textFill>
        </w:rPr>
        <w:t xml:space="preserve">ZJZ/JL 21-6 实验检测技术中心自制方法评审表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43" w:name="_Toc11905"/>
      <w:r>
        <w:rPr>
          <w:color w:val="000000" w:themeColor="text1"/>
          <w14:textFill>
            <w14:solidFill>
              <w14:schemeClr w14:val="tx1"/>
            </w14:solidFill>
          </w14:textFill>
        </w:rPr>
        <w:t xml:space="preserve">ZJZ/CX-22 检测方法偏离控制程序</w:t>
      </w:r>
      <w:bookmarkEnd w:id="43"/>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对允许偏离检验检测方法的情况作出规定，严加控制，以保证能正常有序地进行检验检测工作。</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适用于仅仅在偏离已被文件规定、经技术判断、技术负责人批准和客户接受的情况。</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技术负责人：负责组织方法偏离审批；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质量负责人：负责将偏离处置结果与客户进行沟通；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实验室室主任：组织对偏离申请进行评估并给出处理意见；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检验检测人员：负责对检验检测方法偏离的识别和申请。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样品管理员：负责对客户委托样品时要求进行识别。</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偏离的定义和来源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偏离是指一定的允许范围、一定的数量和一定的时间段等条件下的书面许可。偏离主要存在的环节及来源：</w:t>
      </w:r>
      <w:r>
        <w:rPr>
          <w:color w:val="000000" w:themeColor="text1"/>
          <w14:textFill>
            <w14:solidFill>
              <w14:schemeClr w14:val="tx1"/>
            </w14:solidFill>
          </w14:textFill>
        </w:rPr>
      </w:r>
    </w:p>
    <w:p>
      <w:pPr>
        <w:pStyle w:val="1996"/>
        <w:numPr>
          <w:ilvl w:val="0"/>
          <w:numId w:val="29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质量监督员对技术工作及检测人员的监督。</w:t>
      </w:r>
      <w:r>
        <w:rPr>
          <w:color w:val="000000" w:themeColor="text1"/>
          <w14:textFill>
            <w14:solidFill>
              <w14:schemeClr w14:val="tx1"/>
            </w14:solidFill>
          </w14:textFill>
        </w:rPr>
      </w:r>
    </w:p>
    <w:p>
      <w:pPr>
        <w:pStyle w:val="1996"/>
        <w:numPr>
          <w:ilvl w:val="0"/>
          <w:numId w:val="29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客户的要求。</w:t>
      </w:r>
      <w:r>
        <w:rPr>
          <w:color w:val="000000" w:themeColor="text1"/>
          <w14:textFill>
            <w14:solidFill>
              <w14:schemeClr w14:val="tx1"/>
            </w14:solidFill>
          </w14:textFill>
        </w:rPr>
      </w:r>
    </w:p>
    <w:p>
      <w:pPr>
        <w:pStyle w:val="1996"/>
        <w:numPr>
          <w:ilvl w:val="0"/>
          <w:numId w:val="29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仪器和计量器具的校准／检定。</w:t>
      </w:r>
      <w:r>
        <w:rPr>
          <w:color w:val="000000" w:themeColor="text1"/>
          <w14:textFill>
            <w14:solidFill>
              <w14:schemeClr w14:val="tx1"/>
            </w14:solidFill>
          </w14:textFill>
        </w:rPr>
      </w:r>
    </w:p>
    <w:p>
      <w:pPr>
        <w:pStyle w:val="1996"/>
        <w:numPr>
          <w:ilvl w:val="0"/>
          <w:numId w:val="29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消耗性材料核查。</w:t>
      </w:r>
      <w:r>
        <w:rPr>
          <w:color w:val="000000" w:themeColor="text1"/>
          <w14:textFill>
            <w14:solidFill>
              <w14:schemeClr w14:val="tx1"/>
            </w14:solidFill>
          </w14:textFill>
        </w:rPr>
      </w:r>
    </w:p>
    <w:p>
      <w:pPr>
        <w:pStyle w:val="1996"/>
        <w:numPr>
          <w:ilvl w:val="0"/>
          <w:numId w:val="29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质量控制，包括环境条件、检测方法、计算和数据传递、记录等检测过程的各环节。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偏离的识别与处理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各实验室检验检测人员根据客户要求或仪器设备的状态及环境等因素，当发现存在方法偏离情况时，填写</w:t>
      </w:r>
      <w:r>
        <w:fldChar w:fldCharType="begin"/>
      </w:r>
      <w:r>
        <w:instrText xml:space="preserve"> HYPERLINK "https://pqsuhhq8yu6.feishu.cn/wiki/UL9ewct25ij46XkCcVwcZx4wnce" \h </w:instrText>
      </w:r>
      <w:r>
        <w:fldChar w:fldCharType="separate"/>
      </w:r>
      <w:r>
        <w:rPr>
          <w:color w:val="000000" w:themeColor="text1"/>
          <w14:textFill>
            <w14:solidFill>
              <w14:schemeClr w14:val="tx1"/>
            </w14:solidFill>
          </w14:textFill>
        </w:rPr>
        <w:t xml:space="preserve">ZJZ/JL22-1检测偏离申请表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，提出偏离检测申请，由实验室室主任评估后给出处理意见，提交技术负责人审批后实施。审批后结果由样品管理员与客户沟通，必要时由质量负责人与客户沟通，偏离必须征得客户的同意。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偏离的识别：在保证不影响检测质量的前提下，本实验室允许的偏离项：</w:t>
      </w:r>
      <w:r>
        <w:rPr>
          <w:color w:val="000000" w:themeColor="text1"/>
          <w14:textFill>
            <w14:solidFill>
              <w14:schemeClr w14:val="tx1"/>
            </w14:solidFill>
          </w14:textFill>
        </w:rPr>
      </w:r>
    </w:p>
    <w:p>
      <w:pPr>
        <w:pStyle w:val="1996"/>
        <w:numPr>
          <w:ilvl w:val="0"/>
          <w:numId w:val="29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仪器的校准。当稳定性好的仪器刚好到了检定日期，此时有急样；或者检定单位暂无时间检定时，根据使用仪器设备的实际情况，提出偏离检测申请，技术负责人审核批准后，允许先开展检验检测，之后对仪器进行检定/校准。</w:t>
      </w:r>
      <w:r>
        <w:rPr>
          <w:color w:val="000000" w:themeColor="text1"/>
          <w14:textFill>
            <w14:solidFill>
              <w14:schemeClr w14:val="tx1"/>
            </w14:solidFill>
          </w14:textFill>
        </w:rPr>
      </w:r>
    </w:p>
    <w:p>
      <w:pPr>
        <w:pStyle w:val="1996"/>
        <w:numPr>
          <w:ilvl w:val="0"/>
          <w:numId w:val="29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方法标准的偏离。</w:t>
      </w:r>
      <w:r>
        <w:rPr>
          <w:color w:val="000000" w:themeColor="text1"/>
          <w14:textFill>
            <w14:solidFill>
              <w14:schemeClr w14:val="tx1"/>
            </w14:solidFill>
          </w14:textFill>
        </w:rPr>
      </w:r>
    </w:p>
    <w:p>
      <w:pPr>
        <w:pStyle w:val="1996"/>
        <w:numPr>
          <w:ilvl w:val="0"/>
          <w:numId w:val="30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当认为客户提出的检测方法不适合或已过期时，应及时通知客户重新确认；如果客户坚持使用，应在</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中注明并签名确认。方法标准偏离不得降低原质量标准，实验室室主任组织验证后，报技术负责人审批，并征得客户同意。</w:t>
      </w:r>
      <w:r>
        <w:rPr>
          <w:color w:val="000000" w:themeColor="text1"/>
          <w14:textFill>
            <w14:solidFill>
              <w14:schemeClr w14:val="tx1"/>
            </w14:solidFill>
          </w14:textFill>
        </w:rPr>
      </w:r>
    </w:p>
    <w:p>
      <w:pPr>
        <w:pStyle w:val="1996"/>
        <w:numPr>
          <w:ilvl w:val="0"/>
          <w:numId w:val="30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当仪器设备性能指标与方法标准要求不一致时，在不降低检测质量的情况下，实验室室主任组织验证后，报技术负责人审批，允许使用与方法标准不一致的仪器设备。</w:t>
      </w:r>
      <w:r>
        <w:rPr>
          <w:color w:val="000000" w:themeColor="text1"/>
          <w14:textFill>
            <w14:solidFill>
              <w14:schemeClr w14:val="tx1"/>
            </w14:solidFill>
          </w14:textFill>
        </w:rPr>
      </w:r>
    </w:p>
    <w:p>
      <w:pPr>
        <w:pStyle w:val="1996"/>
        <w:numPr>
          <w:ilvl w:val="0"/>
          <w:numId w:val="30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当客户提供的样品（数量、包装）与方法标准要求不一致时，在不影响方法标准对样品质量要求的情况下，各实验室室主任组织验证后，报技术负责人审批，允许使用该样品。</w:t>
      </w:r>
      <w:r>
        <w:rPr>
          <w:color w:val="000000" w:themeColor="text1"/>
          <w14:textFill>
            <w14:solidFill>
              <w14:schemeClr w14:val="tx1"/>
            </w14:solidFill>
          </w14:textFill>
        </w:rPr>
      </w:r>
    </w:p>
    <w:p>
      <w:pPr>
        <w:pStyle w:val="1996"/>
        <w:numPr>
          <w:ilvl w:val="0"/>
          <w:numId w:val="30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检测环境的偏离。当检测环境发生变化，与方法标准要求的检测环境条件不一致时，在不影响检测质量的情况下，各实验室室主任组织验证后，报技术负责人审批，允许偏离检测。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偏离验证应采用有证标准物质、留样再测、仪器比对等方式，将偏离验证的原始记录作为偏离申请及处理的附件存档。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通过审批的允许偏离申请，由质量负责人或样品管理员向客户说明，并注明在相应委托书或合同上，由客户签字确认。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方法偏离的四个条件缺一不可，方法偏离是在特殊情况下、不影响检测质量、一定的数量和一定的时间段等条件才允许使用方法偏离。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偏离应与非标准方法区别。偏离是一个非常态的行为，在特定的情况下才使用偏离。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检验检测人员依据审批后的允许偏离方法程序开展检测工作时，应在原始记录详细记录相关数据、信息。出具的检测报告应对允许偏离注以说明。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4.2.8 各实验室室主任组织相关岗位人员对允许偏离实施情况及检测结果进行验证。根据验证情况，技术负责人对偏离工作的可接受性及最终处理意见作出结论，必要时技术负责人通知客户并取消该检测工作。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当检验检测条件恢复正常或客户要求停止偏离时，则原有的正在使用的允许偏离措施自动停止使用。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方法偏离的原则</w:t>
      </w:r>
      <w:r>
        <w:rPr>
          <w:color w:val="000000" w:themeColor="text1"/>
          <w14:textFill>
            <w14:solidFill>
              <w14:schemeClr w14:val="tx1"/>
            </w14:solidFill>
          </w14:textFill>
        </w:rPr>
      </w:r>
    </w:p>
    <w:p>
      <w:pPr>
        <w:pStyle w:val="1996"/>
        <w:numPr>
          <w:ilvl w:val="0"/>
          <w:numId w:val="30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强制性标准或法律法规有要求的不得偏离。</w:t>
      </w:r>
      <w:r>
        <w:rPr>
          <w:color w:val="000000" w:themeColor="text1"/>
          <w14:textFill>
            <w14:solidFill>
              <w14:schemeClr w14:val="tx1"/>
            </w14:solidFill>
          </w14:textFill>
        </w:rPr>
      </w:r>
    </w:p>
    <w:p>
      <w:pPr>
        <w:pStyle w:val="1996"/>
        <w:numPr>
          <w:ilvl w:val="0"/>
          <w:numId w:val="30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不能违背中心的质量方针。</w:t>
      </w:r>
      <w:r>
        <w:rPr>
          <w:color w:val="000000" w:themeColor="text1"/>
          <w14:textFill>
            <w14:solidFill>
              <w14:schemeClr w14:val="tx1"/>
            </w14:solidFill>
          </w14:textFill>
        </w:rPr>
      </w:r>
    </w:p>
    <w:p>
      <w:pPr>
        <w:pStyle w:val="1996"/>
        <w:numPr>
          <w:ilvl w:val="0"/>
          <w:numId w:val="30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不能损害双方的利益。</w:t>
      </w:r>
      <w:r>
        <w:rPr>
          <w:color w:val="000000" w:themeColor="text1"/>
          <w14:textFill>
            <w14:solidFill>
              <w14:schemeClr w14:val="tx1"/>
            </w14:solidFill>
          </w14:textFill>
        </w:rPr>
      </w:r>
    </w:p>
    <w:p>
      <w:pPr>
        <w:pStyle w:val="1996"/>
        <w:numPr>
          <w:ilvl w:val="0"/>
          <w:numId w:val="30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不能影响本中心的诚信或结果的有效性。</w:t>
      </w:r>
      <w:r>
        <w:rPr>
          <w:color w:val="000000" w:themeColor="text1"/>
          <w14:textFill>
            <w14:solidFill>
              <w14:schemeClr w14:val="tx1"/>
            </w14:solidFill>
          </w14:textFill>
        </w:rPr>
      </w:r>
    </w:p>
    <w:p>
      <w:pPr>
        <w:pStyle w:val="1996"/>
        <w:numPr>
          <w:ilvl w:val="0"/>
          <w:numId w:val="30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允许偏离后的检测工作应是可纠正的，可追溯的。</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"https://pqsuhhq8yu6.feishu.cn/wiki/M1jzw9QrjiBMsqk9EBUcqdLHnae" \h </w:instrText>
      </w:r>
      <w:r>
        <w:fldChar w:fldCharType="separate"/>
      </w:r>
      <w:r>
        <w:rPr>
          <w:color w:val="000000" w:themeColor="text1"/>
          <w14:textFill>
            <w14:solidFill>
              <w14:schemeClr w14:val="tx1"/>
            </w14:solidFill>
          </w14:textFill>
        </w:rPr>
        <w:t xml:space="preserve">ZJZ/CX-11 客户要求、标书和合同评审程序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"https://pqsuhhq8yu6.feishu.cn/wiki/Zgr6w5hjkiKf73kMDRmcJibrnWe" \h </w:instrText>
      </w:r>
      <w:r>
        <w:fldChar w:fldCharType="separate"/>
      </w:r>
      <w:r>
        <w:rPr>
          <w:color w:val="000000" w:themeColor="text1"/>
          <w14:textFill>
            <w14:solidFill>
              <w14:schemeClr w14:val="tx1"/>
            </w14:solidFill>
          </w14:textFill>
        </w:rPr>
        <w:t xml:space="preserve">ZJZ/CX-27 质量控制程序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"https://pqsuhhq8yu6.feishu.cn/wiki/UL9ewct25ij46XkCcVwcZx4wnce" \h </w:instrText>
      </w:r>
      <w:r>
        <w:fldChar w:fldCharType="separate"/>
      </w:r>
      <w:r>
        <w:rPr>
          <w:color w:val="000000" w:themeColor="text1"/>
          <w14:textFill>
            <w14:solidFill>
              <w14:schemeClr w14:val="tx1"/>
            </w14:solidFill>
          </w14:textFill>
        </w:rPr>
        <w:t xml:space="preserve">ZJZ/JL22-1检测偏离申请表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44" w:name="_Toc10218"/>
      <w:r>
        <w:rPr>
          <w:color w:val="000000" w:themeColor="text1"/>
          <w14:textFill>
            <w14:solidFill>
              <w14:schemeClr w14:val="tx1"/>
            </w14:solidFill>
          </w14:textFill>
        </w:rPr>
        <w:t xml:space="preserve">ZJZ/CX-23 测量不确定度评定程序</w:t>
      </w:r>
      <w:bookmarkEnd w:id="44"/>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为了正确进行测量不确定度的评定，本站有能力对定量检验检测结果评定测量不确定度以及使检验检测结果能够处于合理的不确定度范围内，特制定本程序。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本程序适用于各种定量分析检测项目，并在检验检测方法要求、客户要求、检测结果出现临界值、内部质量控制有要求在报告中给出检测结果的测量不确定度的评定和表示。</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技术负责人：负责测量不确定度报告的审定。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实验室室主任：负责测量不确定的策划，指导检验检测人员对测量不确定度的审定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检验检测人员：负责本岗位检测项目测量不确定度的评定与表示。</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测量不确定度的评定基本流程</w: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5257800" cy="4181475"/>
                <wp:effectExtent l="0" t="0" r="0" b="0"/>
                <wp:docPr id="14"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0"/>
                        <pic:cNvPicPr>
                          <a:picLocks noChangeAspect="1"/>
                        </pic:cNvPicPr>
                        <pic:nvPr/>
                      </pic:nvPicPr>
                      <pic:blipFill>
                        <a:blip r:embed="rId29"/>
                        <a:stretch/>
                      </pic:blipFill>
                      <pic:spPr bwMode="auto">
                        <a:xfrm>
                          <a:off x="0" y="0"/>
                          <a:ext cx="5257800" cy="41814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14.00pt;height:329.25pt;mso-wrap-distance-left:0.00pt;mso-wrap-distance-top:0.00pt;mso-wrap-distance-right:0.00pt;mso-wrap-distance-bottom:0.00pt;z-index:1;" stroked="false">
                <v:imagedata r:id="rId29" o:title=""/>
                <o:lock v:ext="edit" rotation="t"/>
              </v:shape>
            </w:pict>
          </mc:Fallback>
        </mc:AlternateConten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分析测量不确定来源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不确定度的来源分析尤为重要，这是因为将检测过程中引入不确定度的来源分析清楚，是顺利、准确、可靠地进行评定的基础。从影响测量结果的因素考虑，测量结果的不确定度一般来源于：被测对象、测量仪器、测量环境、测量人员和测量方法。特别要注意对测量结果影响较大的不确定度来源，应避免重复和遗漏。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在实际测量中，产生不确定度的因素大致可归纳为： </w:t>
      </w:r>
      <w:r>
        <w:rPr>
          <w:color w:val="000000" w:themeColor="text1"/>
          <w14:textFill>
            <w14:solidFill>
              <w14:schemeClr w14:val="tx1"/>
            </w14:solidFill>
          </w14:textFill>
        </w:rPr>
      </w:r>
    </w:p>
    <w:p>
      <w:pPr>
        <w:pStyle w:val="1996"/>
        <w:numPr>
          <w:ilvl w:val="0"/>
          <w:numId w:val="30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取样、制样、样品储存及样品本身引起的不确定度。例如样品不均匀、不稳定及制样过程引入的不确定度。 </w:t>
      </w:r>
      <w:r>
        <w:rPr>
          <w:color w:val="000000" w:themeColor="text1"/>
          <w14:textFill>
            <w14:solidFill>
              <w14:schemeClr w14:val="tx1"/>
            </w14:solidFill>
          </w14:textFill>
        </w:rPr>
      </w:r>
    </w:p>
    <w:p>
      <w:pPr>
        <w:pStyle w:val="1996"/>
        <w:numPr>
          <w:ilvl w:val="0"/>
          <w:numId w:val="31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检测过程中使用的天平、砝码、容量器皿、千分尺、游标卡尺等计量器具本身存在的误差引起的不确定度。即使对其量值进行了校准，还存在校准的不确定度（但要小得多）。</w:t>
      </w:r>
      <w:r>
        <w:rPr>
          <w:color w:val="000000" w:themeColor="text1"/>
          <w14:textFill>
            <w14:solidFill>
              <w14:schemeClr w14:val="tx1"/>
            </w14:solidFill>
          </w14:textFill>
        </w:rPr>
      </w:r>
    </w:p>
    <w:p>
      <w:pPr>
        <w:pStyle w:val="1996"/>
        <w:numPr>
          <w:ilvl w:val="0"/>
          <w:numId w:val="31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测量条件变化引入的不确定度。如容量器具及其所盛溶液由于温度的变化而引起体积的变化。 </w:t>
      </w:r>
      <w:r>
        <w:rPr>
          <w:color w:val="000000" w:themeColor="text1"/>
          <w14:textFill>
            <w14:solidFill>
              <w14:schemeClr w14:val="tx1"/>
            </w14:solidFill>
          </w14:textFill>
        </w:rPr>
      </w:r>
    </w:p>
    <w:p>
      <w:pPr>
        <w:pStyle w:val="1996"/>
        <w:numPr>
          <w:ilvl w:val="0"/>
          <w:numId w:val="31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标准物质的参考值、基准物质的纯度等引入的不确定度。 </w:t>
      </w:r>
      <w:r>
        <w:rPr>
          <w:color w:val="000000" w:themeColor="text1"/>
          <w14:textFill>
            <w14:solidFill>
              <w14:schemeClr w14:val="tx1"/>
            </w14:solidFill>
          </w14:textFill>
        </w:rPr>
      </w:r>
    </w:p>
    <w:p>
      <w:pPr>
        <w:pStyle w:val="1996"/>
        <w:numPr>
          <w:ilvl w:val="0"/>
          <w:numId w:val="31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方法、测量过程等带来的不确定度。例如，测量环境、测量条件控制不当而导致沉淀、滴定终点的变动；标准物质和工作曲线基体与样品组成不匹配；基体不一致引起的空白、背景和干扰的影响；样品难分解而导致分解彻底程度不一致；实验设备、环境对测量的污染变动等。 </w:t>
      </w:r>
      <w:r>
        <w:rPr>
          <w:color w:val="000000" w:themeColor="text1"/>
          <w14:textFill>
            <w14:solidFill>
              <w14:schemeClr w14:val="tx1"/>
            </w14:solidFill>
          </w14:textFill>
        </w:rPr>
      </w:r>
    </w:p>
    <w:p>
      <w:pPr>
        <w:pStyle w:val="1996"/>
        <w:numPr>
          <w:ilvl w:val="0"/>
          <w:numId w:val="31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工作曲线的线性及其变动性、测量结果的修约引入的不确定度。 </w:t>
      </w:r>
      <w:r>
        <w:rPr>
          <w:color w:val="000000" w:themeColor="text1"/>
          <w14:textFill>
            <w14:solidFill>
              <w14:schemeClr w14:val="tx1"/>
            </w14:solidFill>
          </w14:textFill>
        </w:rPr>
      </w:r>
    </w:p>
    <w:p>
      <w:pPr>
        <w:pStyle w:val="1996"/>
        <w:numPr>
          <w:ilvl w:val="0"/>
          <w:numId w:val="31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模拟式仪器读数存在的人为偏差。如电光分析天平、滴定管、移液管、分光光度计刻度重复读数的不一致。 </w:t>
      </w:r>
      <w:r>
        <w:rPr>
          <w:color w:val="000000" w:themeColor="text1"/>
          <w14:textFill>
            <w14:solidFill>
              <w14:schemeClr w14:val="tx1"/>
            </w14:solidFill>
          </w14:textFill>
        </w:rPr>
      </w:r>
    </w:p>
    <w:p>
      <w:pPr>
        <w:pStyle w:val="1996"/>
        <w:numPr>
          <w:ilvl w:val="0"/>
          <w:numId w:val="31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数字式仪表由于指示装置的分辨力引入的指示偏差。如输入信号在一个已知区间内变动，却给出同一示值。 </w:t>
      </w:r>
      <w:r>
        <w:rPr>
          <w:color w:val="000000" w:themeColor="text1"/>
          <w14:textFill>
            <w14:solidFill>
              <w14:schemeClr w14:val="tx1"/>
            </w14:solidFill>
          </w14:textFill>
        </w:rPr>
      </w:r>
    </w:p>
    <w:p>
      <w:pPr>
        <w:pStyle w:val="1996"/>
        <w:numPr>
          <w:ilvl w:val="0"/>
          <w:numId w:val="31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引用的常数、参数、经验系数等的不确定度。如原子量、理想气体常数等。 </w:t>
      </w:r>
      <w:r>
        <w:rPr>
          <w:color w:val="000000" w:themeColor="text1"/>
          <w14:textFill>
            <w14:solidFill>
              <w14:schemeClr w14:val="tx1"/>
            </w14:solidFill>
          </w14:textFill>
        </w:rPr>
      </w:r>
    </w:p>
    <w:p>
      <w:pPr>
        <w:pStyle w:val="1996"/>
        <w:numPr>
          <w:ilvl w:val="0"/>
          <w:numId w:val="31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测量过程中的随机因素，及随机因素与上述各因素间的交互作用，表现为在表面上看来完全相同的条件下，重复测量量值的变化。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这些产生不确定度的因素不一定都是独立的，例如，第 j 项可能与前面各项存在一定相关性。一定条件下，某些因素可能是不确定度的主要贡献者，而另一些可能贡献极微，可以忽略不计。检测过程中，可能还有一些尚未认识到的系统效应，目前还不太可能在不确定度评估中予以考虑，但它可能导致测量结果的偏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建立测量模型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ascii="Arial" w:hAnsi="Arial"/>
          <w:color w:val="000000" w:themeColor="text1"/>
          <w14:textFill>
            <w14:solidFill>
              <w14:schemeClr w14:val="tx1"/>
            </w14:solidFill>
          </w14:textFill>
        </w:rPr>
        <w:t xml:space="preserve">根据被测量建立测量模型</w:t>
      </w:r>
      <m:oMath>
        <m:r>
          <w:rPr>
            <w:rFonts w:ascii="Cambria Math" w:hAnsi="Cambria Math"/>
            <w:color w:val="000000" w:themeColor="text1"/>
            <w14:textFill>
              <w14:solidFill>
                <w14:schemeClr w14:val="tx1"/>
              </w14:solidFill>
            </w14:textFill>
          </w:rPr>
          <m:rPr/>
          <m:t>Y=f</m:t>
        </m:r>
        <m:d>
          <m:dPr>
            <m:sepChr m:val=","/>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1</m:t>
                </m:r>
              </m:sub>
            </m:sSub>
          </m:e>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2</m:t>
                </m:r>
              </m:sub>
            </m:sSub>
          </m:e>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3</m:t>
                </m:r>
              </m:sub>
            </m:sSub>
            <m:r>
              <w:rPr>
                <w:rFonts w:ascii="Cambria Math" w:hAnsi="Cambria Math"/>
                <w:color w:val="000000" w:themeColor="text1"/>
                <w14:textFill>
                  <w14:solidFill>
                    <w14:schemeClr w14:val="tx1"/>
                  </w14:solidFill>
                </w14:textFill>
              </w:rPr>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e>
        </m:d>
      </m:oMath>
      <w:r>
        <w:rPr>
          <w:rFonts w:ascii="Arial" w:hAnsi="Arial"/>
          <w:color w:val="000000" w:themeColor="text1"/>
          <w14:textFill>
            <w14:solidFill>
              <w14:schemeClr w14:val="tx1"/>
            </w14:solidFill>
          </w14:textFill>
        </w:rPr>
        <w:t xml:space="preserve">确定被测量</w:t>
      </w:r>
      <w:r>
        <w:rPr>
          <w:rFonts w:ascii="Arial" w:hAnsi="Arial"/>
          <w:i/>
          <w:color w:val="000000" w:themeColor="text1"/>
          <w14:textFill>
            <w14:solidFill>
              <w14:schemeClr w14:val="tx1"/>
            </w14:solidFill>
          </w14:textFill>
        </w:rPr>
        <w:t xml:space="preserve">Y</w:t>
      </w:r>
      <w:r>
        <w:rPr>
          <w:rFonts w:ascii="Arial" w:hAnsi="Arial"/>
          <w:color w:val="000000" w:themeColor="text1"/>
          <w14:textFill>
            <w14:solidFill>
              <w14:schemeClr w14:val="tx1"/>
            </w14:solidFill>
          </w14:textFill>
        </w:rPr>
        <w:t xml:space="preserve">与输入量</w:t>
      </w:r>
      <w:r>
        <w:rPr>
          <w:rFonts w:ascii="Arial" w:hAnsi="Arial"/>
          <w:i/>
          <w:color w:val="000000" w:themeColor="text1"/>
          <w14:textFill>
            <w14:solidFill>
              <w14:schemeClr w14:val="tx1"/>
            </w14:solidFill>
          </w14:textFill>
        </w:rPr>
        <w:t xml:space="preserve">X</w:t>
      </w:r>
      <w:r>
        <w:rPr>
          <w:rFonts w:ascii="Arial" w:hAnsi="Arial"/>
          <w:color w:val="000000" w:themeColor="text1"/>
          <w14:textFill>
            <w14:solidFill>
              <w14:schemeClr w14:val="tx1"/>
            </w14:solidFill>
          </w14:textFill>
        </w:rPr>
        <w:t xml:space="preserve">的关系。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式中：</w:t>
      </w:r>
      <w:r>
        <w:rPr>
          <w:i/>
          <w:color w:val="000000" w:themeColor="text1"/>
          <w14:textFill>
            <w14:solidFill>
              <w14:schemeClr w14:val="tx1"/>
            </w14:solidFill>
          </w14:textFill>
        </w:rPr>
        <w:t xml:space="preserve">Y ——</w:t>
      </w:r>
      <w:r>
        <w:rPr>
          <w:color w:val="000000" w:themeColor="text1"/>
          <w14:textFill>
            <w14:solidFill>
              <w14:schemeClr w14:val="tx1"/>
            </w14:solidFill>
          </w14:textFill>
        </w:rPr>
        <w:t xml:space="preserve">被测量（输出量）估计值，</w:t>
      </w:r>
      <w:r>
        <w:rPr>
          <w:i/>
          <w:color w:val="000000" w:themeColor="text1"/>
          <w14:textFill>
            <w14:solidFill>
              <w14:schemeClr w14:val="tx1"/>
            </w14:solidFill>
          </w14:textFill>
        </w:rPr>
        <w:t xml:space="preserve">X</w:t>
      </w:r>
      <w:r>
        <w:rPr>
          <w:color w:val="000000" w:themeColor="text1"/>
          <w14:textFill>
            <w14:solidFill>
              <w14:schemeClr w14:val="tx1"/>
            </w14:solidFill>
          </w14:textFill>
        </w:rPr>
        <w:t xml:space="preserve">(i)——测得量（输入量）估计值。</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不确定度的来源主要包括所用的标准物质(参考物质)、方法和设备、环境条件、被测物品的性能和状态以及操作人员等。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测量不确定度的评定方法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测量不确定度通常由许多分量组成，其中一部分分量符合统计规律性，可按统计方法进行评估(A类)；而另一部分分量不具有统计规律，可采用其它方法进行评估(B类)。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A类不确定度评定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根据实验组数选择贝塞尔法（1组实验）和合并样本的标准偏差的评定（多组实验）法。</w:t>
      </w:r>
      <w:r>
        <w:rPr>
          <w:color w:val="000000" w:themeColor="text1"/>
          <w14:textFill>
            <w14:solidFill>
              <w14:schemeClr w14:val="tx1"/>
            </w14:solidFill>
          </w14:textFill>
        </w:rPr>
      </w:r>
    </w:p>
    <w:p>
      <w:pPr>
        <w:pStyle w:val="1996"/>
        <w:numPr>
          <w:ilvl w:val="0"/>
          <w:numId w:val="319"/>
        </w:numPr>
        <w:pBdr/>
        <w:spacing/>
        <w:ind/>
        <w:rPr>
          <w:color w:val="000000" w:themeColor="text1"/>
          <w14:textFill>
            <w14:solidFill>
              <w14:schemeClr w14:val="tx1"/>
            </w14:solidFill>
          </w14:textFill>
        </w:rPr>
      </w:pPr>
      <w:r>
        <w:rPr>
          <w:b/>
          <w:color w:val="000000" w:themeColor="text1"/>
          <w14:textFill>
            <w14:solidFill>
              <w14:schemeClr w14:val="tx1"/>
            </w14:solidFill>
          </w14:textFill>
        </w:rPr>
        <w:t xml:space="preserve">贝塞尔法：</w:t>
      </w:r>
      <w:r>
        <w:rPr>
          <w:color w:val="000000" w:themeColor="text1"/>
          <w14:textFill>
            <w14:solidFill>
              <w14:schemeClr w14:val="tx1"/>
            </w14:solidFill>
          </w14:textFill>
        </w:rPr>
        <w:t xml:space="preserve">以贝塞尔公式计算的标准偏差来表示，对 </w:t>
      </w:r>
      <w:r>
        <w:rPr>
          <w:i/>
          <w:color w:val="000000" w:themeColor="text1"/>
          <w14:textFill>
            <w14:solidFill>
              <w14:schemeClr w14:val="tx1"/>
            </w14:solidFill>
          </w14:textFill>
        </w:rPr>
        <w:t xml:space="preserve">Y </w:t>
      </w:r>
      <w:r>
        <w:rPr>
          <w:color w:val="000000" w:themeColor="text1"/>
          <w14:textFill>
            <w14:solidFill>
              <w14:schemeClr w14:val="tx1"/>
            </w14:solidFill>
          </w14:textFill>
        </w:rPr>
        <w:t xml:space="preserve">进行 </w:t>
      </w:r>
      <w:r>
        <w:rPr>
          <w:i/>
          <w:color w:val="000000" w:themeColor="text1"/>
          <w14:textFill>
            <w14:solidFill>
              <w14:schemeClr w14:val="tx1"/>
            </w14:solidFill>
          </w14:textFill>
        </w:rPr>
        <w:t xml:space="preserve">n </w:t>
      </w:r>
      <w:r>
        <w:rPr>
          <w:color w:val="000000" w:themeColor="text1"/>
          <w14:textFill>
            <w14:solidFill>
              <w14:schemeClr w14:val="tx1"/>
            </w14:solidFill>
          </w14:textFill>
        </w:rPr>
        <w:t xml:space="preserve">次独立测量，单次测量结果标准不确定度 </w:t>
      </w:r>
      <w:r>
        <w:rPr>
          <w:i/>
          <w:color w:val="000000" w:themeColor="text1"/>
          <w14:textFill>
            <w14:solidFill>
              <w14:schemeClr w14:val="tx1"/>
            </w14:solidFill>
          </w14:textFill>
        </w:rPr>
        <w:t xml:space="preserve">u</w:t>
      </w:r>
      <w:r>
        <w:rPr>
          <w:color w:val="000000" w:themeColor="text1"/>
          <w14:textFill>
            <w14:solidFill>
              <w14:schemeClr w14:val="tx1"/>
            </w14:solidFill>
          </w14:textFill>
        </w:rPr>
        <w:t xml:space="preserve">(</w:t>
      </w:r>
      <w:r>
        <w:rPr>
          <w:i/>
          <w:color w:val="000000" w:themeColor="text1"/>
          <w14:textFill>
            <w14:solidFill>
              <w14:schemeClr w14:val="tx1"/>
            </w14:solidFill>
          </w14:textFill>
        </w:rPr>
        <w:t xml:space="preserve">xi</w:t>
      </w:r>
      <w:r>
        <w:rPr>
          <w:color w:val="000000" w:themeColor="text1"/>
          <w14:textFill>
            <w14:solidFill>
              <w14:schemeClr w14:val="tx1"/>
            </w14:solidFill>
          </w14:textFill>
        </w:rPr>
        <w:t xml:space="preserve">)就等于实验标准偏差 S。</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Para>
        <m:oMathParaPr/>
        <m:oMath>
          <m:r>
            <w:rPr>
              <w:rFonts w:ascii="Cambria Math" w:hAnsi="Cambria Math"/>
              <w:color w:val="000000" w:themeColor="text1"/>
              <w14:textFill>
                <w14:solidFill>
                  <w14:schemeClr w14:val="tx1"/>
                </w14:solidFill>
              </w14:textFill>
            </w:rPr>
            <m:rPr/>
            <m:t>S</m:t>
          </m:r>
          <m:r>
            <w:rPr>
              <w:rFonts w:ascii="Cambria Math" w:hAnsi="Cambria Math"/>
              <w:color w:val="000000" w:themeColor="text1"/>
              <w14:textFill>
                <w14:solidFill>
                  <w14:schemeClr w14:val="tx1"/>
                </w14:solidFill>
              </w14:textFill>
            </w:rPr>
            <m:rPr>
              <m:sty m:val="p"/>
            </m:rPr>
            <m:t>=</m:t>
          </m:r>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f>
                <m:fPr>
                  <m:ctrlPr>
                    <w:rPr>
                      <w:rFonts w:ascii="Cambria Math" w:hAnsi="Cambria Math"/>
                      <w:color w:val="000000"/>
                      <w14:textFill>
                        <w14:solidFill>
                          <w14:schemeClr w14:val="tx1"/>
                        </w14:solidFill>
                      </w14:textFill>
                    </w:rPr>
                  </m:ctrlPr>
                </m:fPr>
                <m:num>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color w:val="000000" w:themeColor="text1"/>
                          <w14:textFill>
                            <w14:solidFill>
                              <w14:schemeClr w14:val="tx1"/>
                            </w14:solidFill>
                          </w14:textFill>
                        </w:rPr>
                        <m:rPr>
                          <m:sty m:val="p"/>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r>
                        <w:rPr>
                          <w:rFonts w:ascii="Cambria Math" w:hAnsi="Cambria Math"/>
                          <w:color w:val="000000" w:themeColor="text1"/>
                          <w14:textFill>
                            <w14:solidFill>
                              <w14:schemeClr w14:val="tx1"/>
                            </w14:solidFill>
                          </w14:textFill>
                        </w:rPr>
                        <m:rPr>
                          <m:sty m:val="p"/>
                        </m:rPr>
                        <m:t>−</m:t>
                      </m:r>
                      <m:acc>
                        <m:accPr>
                          <m:chr m:val="̅"/>
                          <m:ctrlPr>
                            <w:rPr>
                              <w:rFonts w:ascii="Cambria Math" w:hAnsi="Cambria Math"/>
                              <w:color w:val="000000"/>
                              <w14:textFill>
                                <w14:solidFill>
                                  <w14:schemeClr w14:val="tx1"/>
                                </w14:solidFill>
                              </w14:textFill>
                            </w:rPr>
                          </m:ctrlPr>
                        </m:accPr>
                        <m:e>
                          <m:r>
                            <w:rPr>
                              <w:rFonts w:ascii="Cambria Math" w:hAnsi="Cambria Math"/>
                              <w:color w:val="000000" w:themeColor="text1"/>
                              <w14:textFill>
                                <w14:solidFill>
                                  <w14:schemeClr w14:val="tx1"/>
                                </w14:solidFill>
                              </w14:textFill>
                            </w:rPr>
                            <m:rPr/>
                            <m:t>X</m:t>
                          </m:r>
                        </m:e>
                      </m:acc>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sty m:val="p"/>
                            </m:rPr>
                            <m:t>）</m:t>
                          </m:r>
                        </m:e>
                        <m:sup>
                          <m:r>
                            <w:rPr>
                              <w:rFonts w:ascii="Cambria Math" w:hAnsi="Cambria Math"/>
                              <w:color w:val="000000" w:themeColor="text1"/>
                              <w14:textFill>
                                <w14:solidFill>
                                  <w14:schemeClr w14:val="tx1"/>
                                </w14:solidFill>
                              </w14:textFill>
                            </w:rPr>
                            <m:rPr>
                              <m:sty m:val="p"/>
                            </m:rPr>
                            <m:t>2</m:t>
                          </m:r>
                        </m:sup>
                      </m:sSup>
                    </m:e>
                  </m:nary>
                </m:num>
                <m:den>
                  <m:r>
                    <w:rPr>
                      <w:rFonts w:ascii="Cambria Math" w:hAnsi="Cambria Math"/>
                      <w:color w:val="000000" w:themeColor="text1"/>
                      <w14:textFill>
                        <w14:solidFill>
                          <w14:schemeClr w14:val="tx1"/>
                        </w14:solidFill>
                      </w14:textFill>
                    </w:rPr>
                    <m:rPr/>
                    <m:t>n</m:t>
                  </m:r>
                  <m:r>
                    <w:rPr>
                      <w:rFonts w:ascii="Cambria Math" w:hAnsi="Cambria Math"/>
                      <w:color w:val="000000" w:themeColor="text1"/>
                      <w14:textFill>
                        <w14:solidFill>
                          <w14:schemeClr w14:val="tx1"/>
                        </w14:solidFill>
                      </w14:textFill>
                    </w:rPr>
                    <m:rPr>
                      <m:sty m:val="p"/>
                    </m:rPr>
                    <m:t>−1</m:t>
                  </m:r>
                </m:den>
              </m:f>
            </m:e>
          </m:rad>
        </m:oMath>
      </m:oMathPara>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要注意的是：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（1）最终测量结果由同一个实验室得出，则多次测量必须在重复性测量条件下进行。重复性的条件指： </w:t>
      </w:r>
      <w:r>
        <w:rPr>
          <w:color w:val="000000" w:themeColor="text1"/>
          <w14:textFill>
            <w14:solidFill>
              <w14:schemeClr w14:val="tx1"/>
            </w14:solidFill>
          </w14:textFill>
        </w:rPr>
      </w:r>
    </w:p>
    <w:p>
      <w:pPr>
        <w:pStyle w:val="1996"/>
        <w:numPr>
          <w:ilvl w:val="0"/>
          <w:numId w:val="32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相同的测量程序；</w:t>
      </w:r>
      <w:r>
        <w:rPr>
          <w:color w:val="000000" w:themeColor="text1"/>
          <w14:textFill>
            <w14:solidFill>
              <w14:schemeClr w14:val="tx1"/>
            </w14:solidFill>
          </w14:textFill>
        </w:rPr>
      </w:r>
    </w:p>
    <w:p>
      <w:pPr>
        <w:pStyle w:val="1996"/>
        <w:numPr>
          <w:ilvl w:val="0"/>
          <w:numId w:val="32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相同的测量人员； </w:t>
      </w:r>
      <w:r>
        <w:rPr>
          <w:color w:val="000000" w:themeColor="text1"/>
          <w14:textFill>
            <w14:solidFill>
              <w14:schemeClr w14:val="tx1"/>
            </w14:solidFill>
          </w14:textFill>
        </w:rPr>
      </w:r>
    </w:p>
    <w:p>
      <w:pPr>
        <w:pStyle w:val="1996"/>
        <w:numPr>
          <w:ilvl w:val="0"/>
          <w:numId w:val="32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在相同条件下使用相同的测量设备； </w:t>
      </w:r>
      <w:r>
        <w:rPr>
          <w:color w:val="000000" w:themeColor="text1"/>
          <w14:textFill>
            <w14:solidFill>
              <w14:schemeClr w14:val="tx1"/>
            </w14:solidFill>
          </w14:textFill>
        </w:rPr>
      </w:r>
    </w:p>
    <w:p>
      <w:pPr>
        <w:pStyle w:val="1996"/>
        <w:numPr>
          <w:ilvl w:val="0"/>
          <w:numId w:val="32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相同的地点； </w:t>
      </w:r>
      <w:r>
        <w:rPr>
          <w:color w:val="000000" w:themeColor="text1"/>
          <w14:textFill>
            <w14:solidFill>
              <w14:schemeClr w14:val="tx1"/>
            </w14:solidFill>
          </w14:textFill>
        </w:rPr>
      </w:r>
    </w:p>
    <w:p>
      <w:pPr>
        <w:pStyle w:val="1996"/>
        <w:numPr>
          <w:ilvl w:val="0"/>
          <w:numId w:val="32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短时间内重复测量，所谓短时间，一般理解为其它条件能充分保证的时间。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从理论上说，测量次数越多，通过它们所得出的实验标准偏差越可靠。但当测量次数越大，重复性条件就越难以保证，测量所用的时间也就越长。因此，必须根据测量的精度要求、测量的水平、测量的实际用途选取适当的测量次数。一般要求测量次数不小于 10。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（3）报出测量结果时，通常为未修正的结果，如有修正值或修正因子，应对其进行适当修正才能作为最终测量结果。当修正值或修正因子的不确定度可以忽略时，是否修正，与其分散性无关。</w:t>
      </w:r>
      <w:r>
        <w:rPr>
          <w:color w:val="000000" w:themeColor="text1"/>
          <w14:textFill>
            <w14:solidFill>
              <w14:schemeClr w14:val="tx1"/>
            </w14:solidFill>
          </w14:textFill>
        </w:rPr>
      </w:r>
    </w:p>
    <w:p>
      <w:pPr>
        <w:pStyle w:val="1996"/>
        <w:numPr>
          <w:ilvl w:val="0"/>
          <w:numId w:val="325"/>
        </w:numPr>
        <w:pBdr/>
        <w:spacing/>
        <w:ind/>
        <w:rPr>
          <w:color w:val="000000" w:themeColor="text1"/>
          <w14:textFill>
            <w14:solidFill>
              <w14:schemeClr w14:val="tx1"/>
            </w14:solidFill>
          </w14:textFill>
        </w:rPr>
      </w:pPr>
      <w:r>
        <w:rPr>
          <w:b/>
          <w:color w:val="000000" w:themeColor="text1"/>
          <w14:textFill>
            <w14:solidFill>
              <w14:schemeClr w14:val="tx1"/>
            </w14:solidFill>
          </w14:textFill>
        </w:rPr>
        <w:t xml:space="preserve">合并样本的标准偏差的评定</w:t>
      </w:r>
      <w:r>
        <w:rPr>
          <w:color w:val="000000" w:themeColor="text1"/>
          <w14:textFill>
            <w14:solidFill>
              <w14:schemeClr w14:val="tx1"/>
            </w14:solidFill>
          </w14:textFill>
        </w:rPr>
        <w:t xml:space="preserve">若在重复性条件下对被测量作 </w:t>
      </w:r>
      <w:r>
        <w:rPr>
          <w:i/>
          <w:color w:val="000000" w:themeColor="text1"/>
          <w14:textFill>
            <w14:solidFill>
              <w14:schemeClr w14:val="tx1"/>
            </w14:solidFill>
          </w14:textFill>
        </w:rPr>
        <w:t xml:space="preserve">n </w:t>
      </w:r>
      <w:r>
        <w:rPr>
          <w:color w:val="000000" w:themeColor="text1"/>
          <w14:textFill>
            <w14:solidFill>
              <w14:schemeClr w14:val="tx1"/>
            </w14:solidFill>
          </w14:textFill>
        </w:rPr>
        <w:t xml:space="preserve">次独立测量，并且有 </w:t>
      </w:r>
      <w:r>
        <w:rPr>
          <w:i/>
          <w:color w:val="000000" w:themeColor="text1"/>
          <w14:textFill>
            <w14:solidFill>
              <w14:schemeClr w14:val="tx1"/>
            </w14:solidFill>
          </w14:textFill>
        </w:rPr>
        <w:t xml:space="preserve">m </w:t>
      </w:r>
      <w:r>
        <w:rPr>
          <w:color w:val="000000" w:themeColor="text1"/>
          <w14:textFill>
            <w14:solidFill>
              <w14:schemeClr w14:val="tx1"/>
            </w14:solidFill>
          </w14:textFill>
        </w:rPr>
        <w:t xml:space="preserve">组这样的测量结果，由于各组之间的测量条件可能会稍有不同，因此不能直接用贝塞尔公式对总共 </w:t>
      </w:r>
      <w:r>
        <w:rPr>
          <w:i/>
          <w:color w:val="000000" w:themeColor="text1"/>
          <w14:textFill>
            <w14:solidFill>
              <w14:schemeClr w14:val="tx1"/>
            </w14:solidFill>
          </w14:textFill>
        </w:rPr>
        <w:t xml:space="preserve">m</w:t>
      </w:r>
      <w:r>
        <w:rPr>
          <w:color w:val="000000" w:themeColor="text1"/>
          <w14:textFill>
            <w14:solidFill>
              <w14:schemeClr w14:val="tx1"/>
            </w14:solidFill>
          </w14:textFill>
        </w:rPr>
        <w:t xml:space="preserve">×</w:t>
      </w:r>
      <w:r>
        <w:rPr>
          <w:i/>
          <w:color w:val="000000" w:themeColor="text1"/>
          <w14:textFill>
            <w14:solidFill>
              <w14:schemeClr w14:val="tx1"/>
            </w14:solidFill>
          </w14:textFill>
        </w:rPr>
        <w:t xml:space="preserve">n </w:t>
      </w:r>
      <w:r>
        <w:rPr>
          <w:color w:val="000000" w:themeColor="text1"/>
          <w14:textFill>
            <w14:solidFill>
              <w14:schemeClr w14:val="tx1"/>
            </w14:solidFill>
          </w14:textFill>
        </w:rPr>
        <w:t xml:space="preserve">次测量计算实验标准偏差，而必须计算其合并样本的标准差。一般可适用于：</w:t>
      </w:r>
      <w:r>
        <w:rPr>
          <w:rFonts w:ascii="宋体" w:hAnsi="宋体" w:eastAsia="宋体" w:cs="宋体"/>
          <w:color w:val="000000" w:themeColor="text1"/>
          <w14:textFill>
            <w14:solidFill>
              <w14:schemeClr w14:val="tx1"/>
            </w14:solidFill>
          </w14:textFill>
        </w:rPr>
        <w:t xml:space="preserve">①</w:t>
      </w:r>
      <w:r>
        <w:rPr>
          <w:color w:val="000000" w:themeColor="text1"/>
          <w14:textFill>
            <w14:solidFill>
              <w14:schemeClr w14:val="tx1"/>
            </w14:solidFill>
          </w14:textFill>
        </w:rPr>
        <w:t xml:space="preserve">精密度试验中，不同实验室的重复测量结果合并计算；</w:t>
      </w:r>
      <w:r>
        <w:rPr>
          <w:rFonts w:ascii="宋体" w:hAnsi="宋体" w:eastAsia="宋体" w:cs="宋体"/>
          <w:color w:val="000000" w:themeColor="text1"/>
          <w14:textFill>
            <w14:solidFill>
              <w14:schemeClr w14:val="tx1"/>
            </w14:solidFill>
          </w14:textFill>
        </w:rPr>
        <w:t xml:space="preserve">②</w:t>
      </w:r>
      <w:r>
        <w:rPr>
          <w:color w:val="000000" w:themeColor="text1"/>
          <w14:textFill>
            <w14:solidFill>
              <w14:schemeClr w14:val="tx1"/>
            </w14:solidFill>
          </w14:textFill>
        </w:rPr>
        <w:t xml:space="preserve">期间核查中不同时期获得的核查样品重复测量结果合并计算。每一组测量列的标准偏差 </w:t>
      </w:r>
      <w:r>
        <w:rPr>
          <w:i/>
          <w:color w:val="000000" w:themeColor="text1"/>
          <w14:textFill>
            <w14:solidFill>
              <w14:schemeClr w14:val="tx1"/>
            </w14:solidFill>
          </w14:textFill>
        </w:rPr>
        <w:t xml:space="preserve">sj</w:t>
      </w:r>
      <w:r>
        <w:rPr>
          <w:color w:val="000000" w:themeColor="text1"/>
          <w14:textFill>
            <w14:solidFill>
              <w14:schemeClr w14:val="tx1"/>
            </w14:solidFill>
          </w14:textFill>
        </w:rPr>
        <w:t xml:space="preserve">，合并样本的标准偏差</w:t>
      </w:r>
      <w:r>
        <w:rPr>
          <w:i/>
          <w:color w:val="000000" w:themeColor="text1"/>
          <w14:textFill>
            <w14:solidFill>
              <w14:schemeClr w14:val="tx1"/>
            </w14:solidFill>
          </w14:textFill>
        </w:rPr>
        <w:t xml:space="preserve"> Sp</w:t>
      </w:r>
      <w:r>
        <w:rPr>
          <w:color w:val="000000" w:themeColor="text1"/>
          <w14:textFill>
            <w14:solidFill>
              <w14:schemeClr w14:val="tx1"/>
            </w14:solidFill>
          </w14:textFill>
        </w:rPr>
        <w:t xml:space="preserve">为：</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S</m:t>
            </m:r>
          </m:e>
          <m:sub>
            <m:r>
              <w:rPr>
                <w:rFonts w:ascii="Cambria Math" w:hAnsi="Cambria Math"/>
                <w:color w:val="000000" w:themeColor="text1"/>
                <w14:textFill>
                  <w14:solidFill>
                    <w14:schemeClr w14:val="tx1"/>
                  </w14:solidFill>
                </w14:textFill>
              </w:rPr>
              <m:rPr/>
              <m:t>p</m:t>
            </m:r>
          </m:sub>
        </m:sSub>
        <m:r>
          <w:rPr>
            <w:rFonts w:ascii="Cambria Math" w:hAnsi="Cambria Math"/>
            <w:color w:val="000000" w:themeColor="text1"/>
            <w14:textFill>
              <w14:solidFill>
                <w14:schemeClr w14:val="tx1"/>
              </w14:solidFill>
            </w14:textFill>
          </w:rPr>
          <m:rPr/>
          <m:t>=</m:t>
        </m:r>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1</m:t>
                </m:r>
              </m:num>
              <m:den>
                <m:r>
                  <w:rPr>
                    <w:rFonts w:ascii="Cambria Math" w:hAnsi="Cambria Math"/>
                    <w:color w:val="000000" w:themeColor="text1"/>
                    <w14:textFill>
                      <w14:solidFill>
                        <w14:schemeClr w14:val="tx1"/>
                      </w14:solidFill>
                    </w14:textFill>
                  </w:rPr>
                  <m:rPr/>
                  <m:t>m</m:t>
                </m:r>
              </m:den>
            </m:f>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j=1</m:t>
                </m:r>
              </m:sub>
              <m:sup>
                <m:r>
                  <w:rPr>
                    <w:rFonts w:ascii="Cambria Math" w:hAnsi="Cambria Math"/>
                    <w:color w:val="000000" w:themeColor="text1"/>
                    <w14:textFill>
                      <w14:solidFill>
                        <w14:schemeClr w14:val="tx1"/>
                      </w14:solidFill>
                    </w14:textFill>
                  </w:rPr>
                  <m:rPr/>
                  <m:t>m</m:t>
                </m:r>
              </m:sup>
              <m:e>
                <m:r>
                  <w:rPr>
                    <w:rFonts w:ascii="Cambria Math" w:hAnsi="Cambria Math" w:eastAsia="Cambria Math" w:cs="Cambria Math"/>
                  </w:rPr>
                  <m:rPr/>
                  <m:t/>
                </m:r>
              </m:e>
            </m:nary>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S</m:t>
                </m:r>
              </m:e>
              <m:sub>
                <m:r>
                  <w:rPr>
                    <w:rFonts w:ascii="Cambria Math" w:hAnsi="Cambria Math"/>
                    <w:color w:val="000000" w:themeColor="text1"/>
                    <w14:textFill>
                      <w14:solidFill>
                        <w14:schemeClr w14:val="tx1"/>
                      </w14:solidFill>
                    </w14:textFill>
                  </w:rPr>
                  <m:rPr/>
                  <m:t>j</m:t>
                </m:r>
              </m:sub>
              <m:sup>
                <m:r>
                  <w:rPr>
                    <w:rFonts w:ascii="Cambria Math" w:hAnsi="Cambria Math"/>
                    <w:color w:val="000000" w:themeColor="text1"/>
                    <w14:textFill>
                      <w14:solidFill>
                        <w14:schemeClr w14:val="tx1"/>
                      </w14:solidFill>
                    </w14:textFill>
                  </w:rPr>
                  <m:rPr/>
                  <m:t>2</m:t>
                </m:r>
              </m:sup>
            </m:sSubSup>
          </m:e>
        </m:rad>
        <m:r>
          <w:rPr>
            <w:rFonts w:ascii="Cambria Math" w:hAnsi="Cambria Math"/>
            <w:color w:val="000000" w:themeColor="text1"/>
            <w14:textFill>
              <w14:solidFill>
                <w14:schemeClr w14:val="tx1"/>
              </w14:solidFill>
            </w14:textFill>
          </w:rPr>
          <m:rPr/>
          <m:t>=</m:t>
        </m:r>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1</m:t>
                </m:r>
              </m:num>
              <m:den>
                <m:r>
                  <w:rPr>
                    <w:rFonts w:ascii="Cambria Math" w:hAnsi="Cambria Math"/>
                    <w:color w:val="000000" w:themeColor="text1"/>
                    <w14:textFill>
                      <w14:solidFill>
                        <w14:schemeClr w14:val="tx1"/>
                      </w14:solidFill>
                    </w14:textFill>
                  </w:rPr>
                  <m:rPr/>
                  <m:t>m</m:t>
                </m:r>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n−1</m:t>
                    </m:r>
                  </m:e>
                </m:d>
              </m:den>
            </m:f>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j=1</m:t>
                </m:r>
              </m:sub>
              <m:sup>
                <m:r>
                  <w:rPr>
                    <w:rFonts w:ascii="Cambria Math" w:hAnsi="Cambria Math"/>
                    <w:color w:val="000000" w:themeColor="text1"/>
                    <w14:textFill>
                      <w14:solidFill>
                        <w14:schemeClr w14:val="tx1"/>
                      </w14:solidFill>
                    </w14:textFill>
                  </w:rPr>
                  <m:rPr/>
                  <m:t>m</m:t>
                </m:r>
              </m:sup>
              <m:e>
                <m:r>
                  <w:rPr>
                    <w:rFonts w:ascii="Cambria Math" w:hAnsi="Cambria Math" w:eastAsia="Cambria Math" w:cs="Cambria Math"/>
                  </w:rPr>
                  <m:rPr/>
                  <m:t/>
                </m:r>
              </m:e>
            </m:nary>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sSup>
              <m:sSupPr>
                <m:ctrlPr>
                  <w:rPr>
                    <w:rFonts w:ascii="Cambria Math" w:hAnsi="Cambria Math"/>
                    <w:color w:val="000000"/>
                    <w14:textFill>
                      <w14:solidFill>
                        <w14:schemeClr w14:val="tx1"/>
                      </w14:solidFill>
                    </w14:textFill>
                  </w:rPr>
                </m:ctrlPr>
              </m:sSupPr>
              <m:e>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ji</m:t>
                        </m:r>
                      </m:sub>
                    </m:sSub>
                    <m:r>
                      <w:rPr>
                        <w:rFonts w:ascii="Cambria Math" w:hAnsi="Cambria Math"/>
                        <w:color w:val="000000" w:themeColor="text1"/>
                        <w14:textFill>
                          <w14:solidFill>
                            <w14:schemeClr w14:val="tx1"/>
                          </w14:solidFill>
                        </w14:textFill>
                      </w:rPr>
                      <m:rPr/>
                      <m:t>−</m:t>
                    </m:r>
                    <m:acc>
                      <m:accPr>
                        <m:chr m:val="̅"/>
                        <m:ctrlPr>
                          <w:rPr>
                            <w:rFonts w:ascii="Cambria Math" w:hAnsi="Cambria Math"/>
                            <w:color w:val="000000"/>
                            <w14:textFill>
                              <w14:solidFill>
                                <w14:schemeClr w14:val="tx1"/>
                              </w14:solidFill>
                            </w14:textFill>
                          </w:rPr>
                        </m:ctrlPr>
                      </m:acc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e>
                    </m:acc>
                  </m:e>
                </m:d>
              </m:e>
              <m:sup>
                <m:r>
                  <w:rPr>
                    <w:rFonts w:ascii="Cambria Math" w:hAnsi="Cambria Math"/>
                    <w:color w:val="000000" w:themeColor="text1"/>
                    <w14:textFill>
                      <w14:solidFill>
                        <w14:schemeClr w14:val="tx1"/>
                      </w14:solidFill>
                    </w14:textFill>
                  </w:rPr>
                  <m:rPr/>
                  <m:t>2</m:t>
                </m:r>
              </m:sup>
            </m:sSup>
          </m:e>
        </m:rad>
      </m:oMath>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式中：i——每组测量的次数，i=1,2，…,n；j——组数，j=1,2，…,m；其自由度为 </w:t>
      </w:r>
      <w:r>
        <w:rPr>
          <w:i/>
          <w:color w:val="000000" w:themeColor="text1"/>
          <w14:textFill>
            <w14:solidFill>
              <w14:schemeClr w14:val="tx1"/>
            </w14:solidFill>
          </w14:textFill>
        </w:rPr>
        <w:t xml:space="preserve">m</w:t>
      </w:r>
      <w:r>
        <w:rPr>
          <w:color w:val="000000" w:themeColor="text1"/>
          <w14:textFill>
            <w14:solidFill>
              <w14:schemeClr w14:val="tx1"/>
            </w14:solidFill>
          </w14:textFill>
        </w:rPr>
        <w:t xml:space="preserve">(</w:t>
      </w:r>
      <w:r>
        <w:rPr>
          <w:i/>
          <w:color w:val="000000" w:themeColor="text1"/>
          <w14:textFill>
            <w14:solidFill>
              <w14:schemeClr w14:val="tx1"/>
            </w14:solidFill>
          </w14:textFill>
        </w:rPr>
        <w:t xml:space="preserve">n</w:t>
      </w:r>
      <w:r>
        <w:rPr>
          <w:color w:val="000000" w:themeColor="text1"/>
          <w14:textFill>
            <w14:solidFill>
              <w14:schemeClr w14:val="tx1"/>
            </w14:solidFill>
          </w14:textFill>
        </w:rPr>
        <w:t xml:space="preserve">-1)，</w:t>
      </w:r>
      <w:r>
        <w:rPr>
          <w:i/>
          <w:color w:val="000000" w:themeColor="text1"/>
          <w14:textFill>
            <w14:solidFill>
              <w14:schemeClr w14:val="tx1"/>
            </w14:solidFill>
          </w14:textFill>
        </w:rPr>
        <w:t xml:space="preserve">n </w:t>
      </w:r>
      <w:r>
        <w:rPr>
          <w:color w:val="000000" w:themeColor="text1"/>
          <w14:textFill>
            <w14:solidFill>
              <w14:schemeClr w14:val="tx1"/>
            </w14:solidFill>
          </w14:textFill>
        </w:rPr>
        <w:t xml:space="preserve">为每组测量中重复测量的次数。</w:t>
      </w:r>
      <w:r>
        <w:rPr>
          <w:color w:val="000000" w:themeColor="text1"/>
          <w14:textFill>
            <w14:solidFill>
              <w14:schemeClr w14:val="tx1"/>
            </w14:solidFill>
          </w14:textFill>
        </w:rPr>
      </w:r>
    </w:p>
    <w:p>
      <w:pPr>
        <w:pStyle w:val="1996"/>
        <w:numPr>
          <w:ilvl w:val="0"/>
          <w:numId w:val="32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A类不确定度评定说明</w:t>
      </w:r>
      <w:r>
        <w:rPr>
          <w:color w:val="000000" w:themeColor="text1"/>
          <w14:textFill>
            <w14:solidFill>
              <w14:schemeClr w14:val="tx1"/>
            </w14:solidFill>
          </w14:textFill>
        </w:rPr>
      </w:r>
    </w:p>
    <w:p>
      <w:pPr>
        <w:pStyle w:val="1996"/>
        <w:numPr>
          <w:ilvl w:val="0"/>
          <w:numId w:val="32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A类不确定度是系统误差；</w:t>
      </w:r>
      <w:r>
        <w:rPr>
          <w:color w:val="000000" w:themeColor="text1"/>
          <w14:textFill>
            <w14:solidFill>
              <w14:schemeClr w14:val="tx1"/>
            </w14:solidFill>
          </w14:textFill>
        </w:rPr>
      </w:r>
    </w:p>
    <w:p>
      <w:pPr>
        <w:pStyle w:val="1996"/>
        <w:numPr>
          <w:ilvl w:val="0"/>
          <w:numId w:val="32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当A类不确定度分量对合成标准不确定度贡献较大时，</w:t>
      </w:r>
      <w:r>
        <w:rPr>
          <w:i/>
          <w:color w:val="000000" w:themeColor="text1"/>
          <w14:textFill>
            <w14:solidFill>
              <w14:schemeClr w14:val="tx1"/>
            </w14:solidFill>
          </w14:textFill>
        </w:rPr>
        <w:t xml:space="preserve">n</w:t>
      </w:r>
      <w:r>
        <w:rPr>
          <w:color w:val="000000" w:themeColor="text1"/>
          <w14:textFill>
            <w14:solidFill>
              <w14:schemeClr w14:val="tx1"/>
            </w14:solidFill>
          </w14:textFill>
        </w:rPr>
        <w:t xml:space="preserve">应选的较大些，反之，</w:t>
      </w:r>
      <w:r>
        <w:rPr>
          <w:i/>
          <w:color w:val="000000" w:themeColor="text1"/>
          <w14:textFill>
            <w14:solidFill>
              <w14:schemeClr w14:val="tx1"/>
            </w14:solidFill>
          </w14:textFill>
        </w:rPr>
        <w:t xml:space="preserve">n</w:t>
      </w:r>
      <w:r>
        <w:rPr>
          <w:color w:val="000000" w:themeColor="text1"/>
          <w14:textFill>
            <w14:solidFill>
              <w14:schemeClr w14:val="tx1"/>
            </w14:solidFill>
          </w14:textFill>
        </w:rPr>
        <w:t xml:space="preserve">应选的小一些；</w:t>
      </w:r>
      <w:r>
        <w:rPr>
          <w:color w:val="000000" w:themeColor="text1"/>
          <w14:textFill>
            <w14:solidFill>
              <w14:schemeClr w14:val="tx1"/>
            </w14:solidFill>
          </w14:textFill>
        </w:rPr>
      </w:r>
    </w:p>
    <w:p>
      <w:pPr>
        <w:pStyle w:val="1996"/>
        <w:numPr>
          <w:ilvl w:val="0"/>
          <w:numId w:val="32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当A类不确定度分量在合成不确定度中占主导地位时，B类不确定度分量可以忽略不计。</w:t>
      </w:r>
      <w:r>
        <w:rPr>
          <w:color w:val="000000" w:themeColor="text1"/>
          <w14:textFill>
            <w14:solidFill>
              <w14:schemeClr w14:val="tx1"/>
            </w14:solidFill>
          </w14:textFill>
        </w:rPr>
      </w:r>
    </w:p>
    <w:p>
      <w:pPr>
        <w:pStyle w:val="1996"/>
        <w:numPr>
          <w:ilvl w:val="0"/>
          <w:numId w:val="33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当样品经不起或不可能做多次重复测量时，无A类不确定度分量；</w:t>
      </w:r>
      <w:r>
        <w:rPr>
          <w:color w:val="000000" w:themeColor="text1"/>
          <w14:textFill>
            <w14:solidFill>
              <w14:schemeClr w14:val="tx1"/>
            </w14:solidFill>
          </w14:textFill>
        </w:rPr>
      </w:r>
    </w:p>
    <w:p>
      <w:pPr>
        <w:pStyle w:val="1996"/>
        <w:numPr>
          <w:ilvl w:val="0"/>
          <w:numId w:val="33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一般认为是正态分布。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B类不确定度评定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B 类评估的信息一般包括： </w:t>
      </w:r>
      <w:r>
        <w:rPr>
          <w:color w:val="000000" w:themeColor="text1"/>
          <w14:textFill>
            <w14:solidFill>
              <w14:schemeClr w14:val="tx1"/>
            </w14:solidFill>
          </w14:textFill>
        </w:rPr>
      </w:r>
    </w:p>
    <w:p>
      <w:pPr>
        <w:pStyle w:val="1996"/>
        <w:numPr>
          <w:ilvl w:val="0"/>
          <w:numId w:val="33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以前的测量或评估的数据； </w:t>
      </w:r>
      <w:r>
        <w:rPr>
          <w:color w:val="000000" w:themeColor="text1"/>
          <w14:textFill>
            <w14:solidFill>
              <w14:schemeClr w14:val="tx1"/>
            </w14:solidFill>
          </w14:textFill>
        </w:rPr>
      </w:r>
    </w:p>
    <w:p>
      <w:pPr>
        <w:pStyle w:val="1996"/>
        <w:numPr>
          <w:ilvl w:val="0"/>
          <w:numId w:val="33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对有关技术资料和测量仪器特性的了解和经验； </w:t>
      </w:r>
      <w:r>
        <w:rPr>
          <w:color w:val="000000" w:themeColor="text1"/>
          <w14:textFill>
            <w14:solidFill>
              <w14:schemeClr w14:val="tx1"/>
            </w14:solidFill>
          </w14:textFill>
        </w:rPr>
      </w:r>
    </w:p>
    <w:p>
      <w:pPr>
        <w:pStyle w:val="1996"/>
        <w:numPr>
          <w:ilvl w:val="0"/>
          <w:numId w:val="33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制造商提供的技术文件； </w:t>
      </w:r>
      <w:r>
        <w:rPr>
          <w:color w:val="000000" w:themeColor="text1"/>
          <w14:textFill>
            <w14:solidFill>
              <w14:schemeClr w14:val="tx1"/>
            </w14:solidFill>
          </w14:textFill>
        </w:rPr>
      </w:r>
    </w:p>
    <w:p>
      <w:pPr>
        <w:pStyle w:val="1996"/>
        <w:numPr>
          <w:ilvl w:val="0"/>
          <w:numId w:val="33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校准、检定证书提供的数据、准确度的等级或级别，包括暂时使用的极限允差； </w:t>
      </w:r>
      <w:r>
        <w:rPr>
          <w:color w:val="000000" w:themeColor="text1"/>
          <w14:textFill>
            <w14:solidFill>
              <w14:schemeClr w14:val="tx1"/>
            </w14:solidFill>
          </w14:textFill>
        </w:rPr>
      </w:r>
    </w:p>
    <w:p>
      <w:pPr>
        <w:pStyle w:val="1996"/>
        <w:numPr>
          <w:ilvl w:val="0"/>
          <w:numId w:val="33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手册或资料给出的参考数据及其不确定度； </w:t>
      </w:r>
      <w:r>
        <w:rPr>
          <w:color w:val="000000" w:themeColor="text1"/>
          <w14:textFill>
            <w14:solidFill>
              <w14:schemeClr w14:val="tx1"/>
            </w14:solidFill>
          </w14:textFill>
        </w:rPr>
      </w:r>
    </w:p>
    <w:p>
      <w:pPr>
        <w:pStyle w:val="1996"/>
        <w:numPr>
          <w:ilvl w:val="0"/>
          <w:numId w:val="33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指定检测方法的国家标准或类似文件给出的重复性限 </w:t>
      </w:r>
      <w:r>
        <w:rPr>
          <w:i/>
          <w:color w:val="000000" w:themeColor="text1"/>
          <w14:textFill>
            <w14:solidFill>
              <w14:schemeClr w14:val="tx1"/>
            </w14:solidFill>
          </w14:textFill>
        </w:rPr>
        <w:t xml:space="preserve">r </w:t>
      </w:r>
      <w:r>
        <w:rPr>
          <w:color w:val="000000" w:themeColor="text1"/>
          <w14:textFill>
            <w14:solidFill>
              <w14:schemeClr w14:val="tx1"/>
            </w14:solidFill>
          </w14:textFill>
        </w:rPr>
        <w:t xml:space="preserve">或再现性限 </w:t>
      </w:r>
      <w:r>
        <w:rPr>
          <w:i/>
          <w:color w:val="000000" w:themeColor="text1"/>
          <w14:textFill>
            <w14:solidFill>
              <w14:schemeClr w14:val="tx1"/>
            </w14:solidFill>
          </w14:textFill>
        </w:rPr>
        <w:t xml:space="preserve">R</w:t>
      </w:r>
      <w:r>
        <w:rPr>
          <w:color w:val="000000" w:themeColor="text1"/>
          <w14:textFill>
            <w14:solidFill>
              <w14:schemeClr w14:val="tx1"/>
            </w14:solidFill>
          </w14:textFill>
        </w:rPr>
        <w:t xml:space="preserve">。 </w:t>
      </w:r>
      <w:r>
        <w:rPr>
          <w:color w:val="000000" w:themeColor="text1"/>
          <w14:textFill>
            <w14:solidFill>
              <w14:schemeClr w14:val="tx1"/>
            </w14:solidFill>
          </w14:textFill>
        </w:rPr>
      </w:r>
    </w:p>
    <w:p>
      <w:pPr>
        <w:pStyle w:val="1996"/>
        <w:numPr>
          <w:ilvl w:val="0"/>
          <w:numId w:val="33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如不确定度分量来源于仪器的检定证书、校准证书、手册或其他文件资料，同时明确给出了其不确定度U（x(i)）是标准差S（x(i)）的 k倍，并指明包含因子k的大小，则标准不确定度u（x(i)）= U（x(i)）/k ，相对标准不确定度u(rel)（x(i)）= u（x(i)）/x 。</w:t>
      </w:r>
      <w:r>
        <w:rPr>
          <w:color w:val="000000" w:themeColor="text1"/>
          <w14:textFill>
            <w14:solidFill>
              <w14:schemeClr w14:val="tx1"/>
            </w14:solidFill>
          </w14:textFill>
        </w:rPr>
      </w:r>
    </w:p>
    <w:p>
      <w:pPr>
        <w:pStyle w:val="1996"/>
        <w:numPr>
          <w:ilvl w:val="0"/>
          <w:numId w:val="33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如不确定度分量是按给出的置信水准p和置信区间的半宽U(p)得到，除非另有说明一般按正态分布评定其不确定度，则u（x(i)）=U(p)/k(p)。k(P)的取值见表1，相对标准不确定度u(rel)（x(i)）= u（x(i)）/x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 表1  正态分布情况下置信概率p与包含因子k(P)间的关系</w:t>
      </w:r>
      <w:r>
        <w:rPr>
          <w:color w:val="000000" w:themeColor="text1"/>
          <w14:textFill>
            <w14:solidFill>
              <w14:schemeClr w14:val="tx1"/>
            </w14:solidFill>
          </w14:textFill>
        </w:rPr>
      </w:r>
    </w:p>
    <w:tbl>
      <w:tblPr>
        <w:tblStyle w:val="1988"/>
        <w:tblW w:w="0" w:type="auto"/>
        <w:tblInd w:w="453" w:type="dxa"/>
        <w:tblBorders/>
        <w:tblLayout w:type="fixed"/>
        <w:tblCellMar>
          <w:left w:w="10" w:type="dxa"/>
          <w:top w:w="0" w:type="dxa"/>
          <w:right w:w="10" w:type="dxa"/>
          <w:bottom w:w="0" w:type="dxa"/>
        </w:tblCellMar>
        <w:tblLook w:val="04A0" w:firstRow="1" w:lastRow="0" w:firstColumn="1" w:lastColumn="0" w:noHBand="0" w:noVBand="1"/>
      </w:tblPr>
      <w:tblGrid>
        <w:gridCol w:w="930"/>
        <w:gridCol w:w="930"/>
        <w:gridCol w:w="930"/>
        <w:gridCol w:w="930"/>
        <w:gridCol w:w="930"/>
        <w:gridCol w:w="930"/>
        <w:gridCol w:w="930"/>
        <w:gridCol w:w="930"/>
      </w:tblGrid>
      <w:tr>
        <w:trPr/>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P(%)</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50</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68.27</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90</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95</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95.45</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99</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99.73</w:t>
            </w:r>
            <w:r>
              <w:rPr>
                <w:rFonts w:hint="default"/>
                <w:color w:val="000000" w:themeColor="text1"/>
                <w14:textFill>
                  <w14:solidFill>
                    <w14:schemeClr w14:val="tx1"/>
                  </w14:solidFill>
                </w14:textFill>
              </w:rPr>
            </w:r>
          </w:p>
        </w:tc>
      </w:tr>
      <w:tr>
        <w:trPr/>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k(P)</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0.67</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1.645</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1.960</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2.576</w:t>
            </w:r>
            <w:r>
              <w:rPr>
                <w:rFonts w:hint="default"/>
                <w:color w:val="000000" w:themeColor="text1"/>
                <w14:textFill>
                  <w14:solidFill>
                    <w14:schemeClr w14:val="tx1"/>
                  </w14:solidFill>
                </w14:textFill>
              </w:rPr>
            </w:r>
          </w:p>
        </w:tc>
        <w:tc>
          <w:tcPr>
            <w:tcBorders>
              <w:top w:val="single" w:color="auto" w:sz="4" w:space="0"/>
              <w:left w:val="single" w:color="auto" w:sz="4" w:space="0"/>
              <w:bottom w:val="single" w:color="auto" w:sz="4" w:space="0"/>
              <w:right w:val="single" w:color="auto" w:sz="4" w:space="0"/>
            </w:tcBorders>
            <w:tcMar>
              <w:left w:w="120" w:type="dxa"/>
              <w:top w:w="60" w:type="dxa"/>
              <w:right w:w="120" w:type="dxa"/>
              <w:bottom w:w="30" w:type="dxa"/>
            </w:tcMar>
            <w:tcW w:w="930" w:type="dxa"/>
            <w:vAlign w:val="center"/>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3</w:t>
            </w:r>
            <w:r>
              <w:rPr>
                <w:rFonts w:hint="default"/>
                <w:color w:val="000000" w:themeColor="text1"/>
                <w14:textFill>
                  <w14:solidFill>
                    <w14:schemeClr w14:val="tx1"/>
                  </w14:solidFill>
                </w14:textFill>
              </w:rPr>
            </w:r>
          </w:p>
        </w:tc>
      </w:tr>
    </w:tbl>
    <w:p>
      <w:pPr>
        <w:pStyle w:val="1996"/>
        <w:numPr>
          <w:ilvl w:val="0"/>
          <w:numId w:val="34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如根据经验和所获得的信息或资料分析、判断测量值有50%的概率落在a(-)和a(+)的区间内，则u（x(i)）=a/0.67，a=( a(-)-a(+))/2，相对标准不确定度u(rel)（x(i)）= u（x(i)）/x 。</w:t>
      </w:r>
      <w:r>
        <w:rPr>
          <w:color w:val="000000" w:themeColor="text1"/>
          <w14:textFill>
            <w14:solidFill>
              <w14:schemeClr w14:val="tx1"/>
            </w14:solidFill>
          </w14:textFill>
        </w:rPr>
      </w:r>
    </w:p>
    <w:p>
      <w:pPr>
        <w:pStyle w:val="1996"/>
        <w:numPr>
          <w:ilvl w:val="0"/>
          <w:numId w:val="34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其他情况根据经验和所获得的信息或资料分析、判断后，按表2进行计算u（x(i)）。</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表2  常用分布与 k、u（x(i)）的关系</w:t>
      </w:r>
      <w:r>
        <w:rPr>
          <w:color w:val="000000" w:themeColor="text1"/>
          <w14:textFill>
            <w14:solidFill>
              <w14:schemeClr w14:val="tx1"/>
            </w14:solidFill>
          </w14:textFill>
        </w:rPr>
      </w:r>
    </w:p>
    <w:tbl>
      <w:tblPr>
        <w:tblStyle w:val="19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top w:w="0" w:type="dxa"/>
          <w:right w:w="10" w:type="dxa"/>
          <w:bottom w:w="0" w:type="dxa"/>
        </w:tblCellMar>
        <w:tblLook w:val="04A0" w:firstRow="1" w:lastRow="0" w:firstColumn="1" w:lastColumn="0" w:noHBand="0" w:noVBand="1"/>
      </w:tblPr>
      <w:tblGrid>
        <w:gridCol w:w="1785"/>
        <w:gridCol w:w="1470"/>
        <w:gridCol w:w="2985"/>
        <w:gridCol w:w="1365"/>
      </w:tblGrid>
      <w:tr>
        <w:trPr>
          <w:jc w:val="center"/>
        </w:trPr>
        <w:tc>
          <w:tcPr>
            <w:tcBorders/>
            <w:tcMar>
              <w:left w:w="120" w:type="dxa"/>
              <w:top w:w="60" w:type="dxa"/>
              <w:right w:w="120" w:type="dxa"/>
              <w:bottom w:w="30" w:type="dxa"/>
            </w:tcMar>
            <w:tcW w:w="17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分布类别</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70"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p(%)</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29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k</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36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u（x(i)）</w:t>
            </w:r>
            <w:r>
              <w:rPr>
                <w:rFonts w:hint="default"/>
                <w:color w:val="000000" w:themeColor="text1"/>
                <w14:textFill>
                  <w14:solidFill>
                    <w14:schemeClr w14:val="tx1"/>
                  </w14:solidFill>
                </w14:textFill>
              </w:rPr>
            </w:r>
          </w:p>
        </w:tc>
      </w:tr>
      <w:tr>
        <w:trPr>
          <w:jc w:val="center"/>
        </w:trPr>
        <w:tc>
          <w:tcPr>
            <w:tcBorders/>
            <w:tcMar>
              <w:left w:w="120" w:type="dxa"/>
              <w:top w:w="60" w:type="dxa"/>
              <w:right w:w="120" w:type="dxa"/>
              <w:bottom w:w="30" w:type="dxa"/>
            </w:tcMar>
            <w:tcW w:w="17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三角</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70"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100</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29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m:oMathPara>
              <m:oMathParaPr/>
              <m:oMath>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r>
                      <w:rPr>
                        <w:rFonts w:hint="default" w:ascii="Cambria Math" w:hAnsi="Cambria Math"/>
                        <w:color w:val="000000" w:themeColor="text1"/>
                        <w14:textFill>
                          <w14:solidFill>
                            <w14:schemeClr w14:val="tx1"/>
                          </w14:solidFill>
                        </w14:textFill>
                      </w:rPr>
                      <m:rPr/>
                      <m:t>6</m:t>
                    </m:r>
                  </m:e>
                </m:rad>
              </m:oMath>
            </m:oMathPara>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365" w:type="dxa"/>
            <w:vMerge w:val="restart"/>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a/k</w:t>
            </w:r>
            <w:r>
              <w:rPr>
                <w:rFonts w:hint="default"/>
                <w:color w:val="000000" w:themeColor="text1"/>
                <w14:textFill>
                  <w14:solidFill>
                    <w14:schemeClr w14:val="tx1"/>
                  </w14:solidFill>
                </w14:textFill>
              </w:rPr>
            </w:r>
          </w:p>
        </w:tc>
      </w:tr>
      <w:tr>
        <w:trPr>
          <w:jc w:val="center"/>
        </w:trPr>
        <w:tc>
          <w:tcPr>
            <w:tcBorders/>
            <w:tcMar>
              <w:left w:w="120" w:type="dxa"/>
              <w:top w:w="60" w:type="dxa"/>
              <w:right w:w="120" w:type="dxa"/>
              <w:bottom w:w="30" w:type="dxa"/>
            </w:tcMar>
            <w:tcW w:w="17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梯形β=0.71</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70"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100</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29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2</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365" w:type="dxa"/>
            <w:vMerge w:val="continue"/>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r>
      <w:tr>
        <w:trPr>
          <w:jc w:val="center"/>
        </w:trPr>
        <w:tc>
          <w:tcPr>
            <w:tcBorders/>
            <w:tcMar>
              <w:left w:w="120" w:type="dxa"/>
              <w:top w:w="60" w:type="dxa"/>
              <w:right w:w="120" w:type="dxa"/>
              <w:bottom w:w="30" w:type="dxa"/>
            </w:tcMar>
            <w:tcW w:w="17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矩形（均匀）</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70"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100</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29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m:oMathPara>
              <m:oMathParaPr/>
              <m:oMath>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r>
                      <w:rPr>
                        <w:rFonts w:hint="default" w:ascii="Cambria Math" w:hAnsi="Cambria Math"/>
                        <w:color w:val="000000" w:themeColor="text1"/>
                        <w14:textFill>
                          <w14:solidFill>
                            <w14:schemeClr w14:val="tx1"/>
                          </w14:solidFill>
                        </w14:textFill>
                      </w:rPr>
                      <m:rPr/>
                      <m:t>3</m:t>
                    </m:r>
                  </m:e>
                </m:rad>
              </m:oMath>
            </m:oMathPara>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365" w:type="dxa"/>
            <w:vMerge w:val="continue"/>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r>
      <w:tr>
        <w:trPr>
          <w:jc w:val="center"/>
        </w:trPr>
        <w:tc>
          <w:tcPr>
            <w:tcBorders/>
            <w:tcMar>
              <w:left w:w="120" w:type="dxa"/>
              <w:top w:w="60" w:type="dxa"/>
              <w:right w:w="120" w:type="dxa"/>
              <w:bottom w:w="30" w:type="dxa"/>
            </w:tcMar>
            <w:tcW w:w="17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反正弦</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70"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100</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29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m:oMathPara>
              <m:oMathParaPr/>
              <m:oMath>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r>
                      <w:rPr>
                        <w:rFonts w:hint="default" w:ascii="Cambria Math" w:hAnsi="Cambria Math"/>
                        <w:color w:val="000000" w:themeColor="text1"/>
                        <w14:textFill>
                          <w14:solidFill>
                            <w14:schemeClr w14:val="tx1"/>
                          </w14:solidFill>
                        </w14:textFill>
                      </w:rPr>
                      <m:rPr/>
                      <m:t>2</m:t>
                    </m:r>
                  </m:e>
                </m:rad>
              </m:oMath>
            </m:oMathPara>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365" w:type="dxa"/>
            <w:vMerge w:val="continue"/>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r>
      <w:tr>
        <w:trPr>
          <w:jc w:val="center"/>
        </w:trPr>
        <w:tc>
          <w:tcPr>
            <w:tcBorders/>
            <w:tcMar>
              <w:left w:w="120" w:type="dxa"/>
              <w:top w:w="60" w:type="dxa"/>
              <w:right w:w="120" w:type="dxa"/>
              <w:bottom w:w="30" w:type="dxa"/>
            </w:tcMar>
            <w:tcW w:w="17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两点</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470"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100</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2985"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1</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1365" w:type="dxa"/>
            <w:vMerge w:val="continue"/>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r>
            <w:r>
              <w:rPr>
                <w:rFonts w:hint="default"/>
                <w:color w:val="000000" w:themeColor="text1"/>
                <w14:textFill>
                  <w14:solidFill>
                    <w14:schemeClr w14:val="tx1"/>
                  </w14:solidFill>
                </w14:textFill>
              </w:rPr>
            </w:r>
          </w:p>
        </w:tc>
      </w:tr>
    </w:tbl>
    <w:p>
      <w:pPr>
        <w:pStyle w:val="1996"/>
        <w:numPr>
          <w:ilvl w:val="0"/>
          <w:numId w:val="34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在规定实验方法的国家标准、行业标准或类似其他技术文件中，按规定的测量条件，给出重复性限r或复现性限R时，如无特别说明，测量不确定度u（x(i)）=r/2.83或u（x(i)）=R/2.83。</w:t>
      </w:r>
      <w:r>
        <w:rPr>
          <w:color w:val="000000" w:themeColor="text1"/>
          <w14:textFill>
            <w14:solidFill>
              <w14:schemeClr w14:val="tx1"/>
            </w14:solidFill>
          </w14:textFill>
        </w:rPr>
      </w:r>
    </w:p>
    <w:p>
      <w:pPr>
        <w:pStyle w:val="1996"/>
        <w:numPr>
          <w:ilvl w:val="0"/>
          <w:numId w:val="34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对于数字显示式测量仪器，如其分辨力为δ(x)，则u（x(i)）=0.29δ(x)。</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合成不确定度的计算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所有合成不确定度分量必须以标准不确定度表示，不确定度的合成按公式</w:t>
      </w:r>
      <m:oMath>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up>
            <m:r>
              <w:rPr>
                <w:rFonts w:ascii="Cambria Math" w:hAnsi="Cambria Math"/>
                <w:color w:val="000000" w:themeColor="text1"/>
                <w14:textFill>
                  <w14:solidFill>
                    <w14:schemeClr w14:val="tx1"/>
                  </w14:solidFill>
                </w14:textFill>
              </w:rPr>
              <m:rPr/>
              <m:t>2</m:t>
            </m:r>
          </m:sup>
        </m:sSubSup>
        <m:r>
          <w:rPr>
            <w:rFonts w:ascii="Cambria Math" w:hAnsi="Cambria Math"/>
            <w:color w:val="000000" w:themeColor="text1"/>
            <w14:textFill>
              <w14:solidFill>
                <w14:schemeClr w14:val="tx1"/>
              </w14:solidFill>
            </w14:textFill>
          </w:rPr>
          <m:rPr/>
          <m:t>=</m:t>
        </m:r>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A</m:t>
            </m:r>
          </m:sub>
          <m:sup>
            <m:r>
              <w:rPr>
                <w:rFonts w:ascii="Cambria Math" w:hAnsi="Cambria Math"/>
                <w:color w:val="000000" w:themeColor="text1"/>
                <w14:textFill>
                  <w14:solidFill>
                    <w14:schemeClr w14:val="tx1"/>
                  </w14:solidFill>
                </w14:textFill>
              </w:rPr>
              <m:rPr/>
              <m:t>2</m:t>
            </m:r>
          </m:sup>
        </m:sSubSup>
        <m:r>
          <w:rPr>
            <w:rFonts w:ascii="Cambria Math" w:hAnsi="Cambria Math"/>
            <w:color w:val="000000" w:themeColor="text1"/>
            <w14:textFill>
              <w14:solidFill>
                <w14:schemeClr w14:val="tx1"/>
              </w14:solidFill>
            </w14:textFill>
          </w:rPr>
          <m:rPr/>
          <m:t>+</m:t>
        </m:r>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B</m:t>
            </m:r>
          </m:sub>
          <m:sup>
            <m:r>
              <w:rPr>
                <w:rFonts w:ascii="Cambria Math" w:hAnsi="Cambria Math"/>
                <w:color w:val="000000" w:themeColor="text1"/>
                <w14:textFill>
                  <w14:solidFill>
                    <w14:schemeClr w14:val="tx1"/>
                  </w14:solidFill>
                </w14:textFill>
              </w:rPr>
              <m:rPr/>
              <m:t>2</m:t>
            </m:r>
          </m:sup>
        </m:sSubSup>
      </m:oMath>
      <w:r>
        <w:rPr>
          <w:color w:val="000000" w:themeColor="text1"/>
          <w14:textFill>
            <w14:solidFill>
              <w14:schemeClr w14:val="tx1"/>
            </w14:solidFill>
          </w14:textFill>
        </w:rPr>
        <w:t xml:space="preserve">计算得出。其中u(A)--A类不确定度;u(B)--B类不确定度。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合成标准不确定度的计算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4.5.2.1 不确定度传播率</w:t>
      </w:r>
      <w:r>
        <w:rPr>
          <w:color w:val="000000" w:themeColor="text1"/>
          <w14:textFill>
            <w14:solidFill>
              <w14:schemeClr w14:val="tx1"/>
            </w14:solidFill>
          </w14:textFill>
        </w:rPr>
      </w:r>
    </w:p>
    <w:p>
      <w:pPr>
        <w:pStyle w:val="1996"/>
        <w:numPr>
          <w:ilvl w:val="0"/>
          <w:numId w:val="34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当被测量</w:t>
      </w:r>
      <w:r>
        <w:rPr>
          <w:i/>
          <w:color w:val="000000" w:themeColor="text1"/>
          <w14:textFill>
            <w14:solidFill>
              <w14:schemeClr w14:val="tx1"/>
            </w14:solidFill>
          </w14:textFill>
        </w:rPr>
        <w:t xml:space="preserve">Y</w:t>
      </w:r>
      <w:r>
        <w:rPr>
          <w:color w:val="000000" w:themeColor="text1"/>
          <w14:textFill>
            <w14:solidFill>
              <w14:schemeClr w14:val="tx1"/>
            </w14:solidFill>
          </w14:textFill>
        </w:rPr>
        <w:t xml:space="preserve">由</w:t>
      </w:r>
      <w:r>
        <w:rPr>
          <w:i/>
          <w:color w:val="000000" w:themeColor="text1"/>
          <w14:textFill>
            <w14:solidFill>
              <w14:schemeClr w14:val="tx1"/>
            </w14:solidFill>
          </w14:textFill>
        </w:rPr>
        <w:t xml:space="preserve">N</w:t>
      </w:r>
      <w:r>
        <w:rPr>
          <w:color w:val="000000" w:themeColor="text1"/>
          <w14:textFill>
            <w14:solidFill>
              <w14:schemeClr w14:val="tx1"/>
            </w14:solidFill>
          </w14:textFill>
        </w:rPr>
        <w:t xml:space="preserve">个其他量</w:t>
      </w:r>
      <w:r>
        <w:rPr>
          <w:i/>
          <w:color w:val="000000" w:themeColor="text1"/>
          <w14:textFill>
            <w14:solidFill>
              <w14:schemeClr w14:val="tx1"/>
            </w14:solidFill>
          </w14:textFill>
        </w:rPr>
        <w:t xml:space="preserve">X(1)，X(2)，…,X(N)</w:t>
      </w:r>
      <w:r>
        <w:rPr>
          <w:color w:val="000000" w:themeColor="text1"/>
          <w14:textFill>
            <w14:solidFill>
              <w14:schemeClr w14:val="tx1"/>
            </w14:solidFill>
          </w14:textFill>
        </w:rPr>
        <w:t xml:space="preserve">通过线性测量函数</w:t>
      </w:r>
      <w:r>
        <w:rPr>
          <w:i/>
          <w:color w:val="000000" w:themeColor="text1"/>
          <w14:textFill>
            <w14:solidFill>
              <w14:schemeClr w14:val="tx1"/>
            </w14:solidFill>
          </w14:textFill>
        </w:rPr>
        <w:t xml:space="preserve">f</w:t>
      </w:r>
      <w:r>
        <w:rPr>
          <w:color w:val="000000" w:themeColor="text1"/>
          <w14:textFill>
            <w14:solidFill>
              <w14:schemeClr w14:val="tx1"/>
            </w14:solidFill>
          </w14:textFill>
        </w:rPr>
        <w:t xml:space="preserve">确定时</w:t>
      </w:r>
      <w:r>
        <w:rPr>
          <w:i/>
          <w:color w:val="000000" w:themeColor="text1"/>
          <w14:textFill>
            <w14:solidFill>
              <w14:schemeClr w14:val="tx1"/>
            </w14:solidFill>
          </w14:textFill>
        </w:rPr>
        <w:t xml:space="preserve">，</w:t>
      </w:r>
      <w:r>
        <w:rPr>
          <w:color w:val="000000" w:themeColor="text1"/>
          <w14:textFill>
            <w14:solidFill>
              <w14:schemeClr w14:val="tx1"/>
            </w14:solidFill>
          </w14:textFill>
        </w:rPr>
        <w:t xml:space="preserve">被测量的估计值</w:t>
      </w:r>
      <w:r>
        <w:rPr>
          <w:i/>
          <w:color w:val="000000" w:themeColor="text1"/>
          <w14:textFill>
            <w14:solidFill>
              <w14:schemeClr w14:val="tx1"/>
            </w14:solidFill>
          </w14:textFill>
        </w:rPr>
        <w:t xml:space="preserve">y</w:t>
      </w:r>
      <w:r>
        <w:rPr>
          <w:color w:val="000000" w:themeColor="text1"/>
          <w14:textFill>
            <w14:solidFill>
              <w14:schemeClr w14:val="tx1"/>
            </w14:solidFill>
          </w14:textFill>
        </w:rPr>
        <w:t xml:space="preserve">为：</w:t>
      </w:r>
      <m:oMath>
        <m:r>
          <w:rPr>
            <w:rFonts w:ascii="Cambria Math" w:hAnsi="Cambria Math"/>
            <w:color w:val="000000" w:themeColor="text1"/>
            <w14:textFill>
              <w14:solidFill>
                <w14:schemeClr w14:val="tx1"/>
              </w14:solidFill>
            </w14:textFill>
          </w:rPr>
          <m:rPr/>
          <m:t>y=f</m:t>
        </m:r>
        <m:d>
          <m:dPr>
            <m:sepChr m:val=","/>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1</m:t>
                </m:r>
              </m:sub>
            </m:sSub>
          </m:e>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2</m:t>
                </m:r>
              </m:sub>
            </m:sSub>
          </m:e>
          <m:e>
            <m:r>
              <w:rPr>
                <w:rFonts w:ascii="Cambria Math" w:hAnsi="Cambria Math"/>
                <w:color w:val="000000" w:themeColor="text1"/>
                <w14:textFill>
                  <w14:solidFill>
                    <w14:schemeClr w14:val="tx1"/>
                  </w14:solidFill>
                </w14:textFill>
              </w:rPr>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e>
        </m:d>
      </m:oMath>
      <w:r>
        <w:rPr>
          <w:color w:val="000000" w:themeColor="text1"/>
          <w14:textFill>
            <w14:solidFill>
              <w14:schemeClr w14:val="tx1"/>
            </w14:solidFill>
          </w14:textFill>
        </w:rPr>
        <w:t xml:space="preserve">，被测量的估计值</w:t>
      </w:r>
      <w:r>
        <w:rPr>
          <w:i/>
          <w:color w:val="000000" w:themeColor="text1"/>
          <w14:textFill>
            <w14:solidFill>
              <w14:schemeClr w14:val="tx1"/>
            </w14:solidFill>
          </w14:textFill>
        </w:rPr>
        <w:t xml:space="preserve">y</w:t>
      </w:r>
      <w:r>
        <w:rPr>
          <w:color w:val="000000" w:themeColor="text1"/>
          <w14:textFill>
            <w14:solidFill>
              <w14:schemeClr w14:val="tx1"/>
            </w14:solidFill>
          </w14:textFill>
        </w:rPr>
        <w:t xml:space="preserve">的合成标准不确定度：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Para>
        <m:oMathParaP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r>
            <w:rPr>
              <w:rFonts w:ascii="Cambria Math" w:hAnsi="Cambria Math"/>
              <w:color w:val="000000" w:themeColor="text1"/>
              <w14:textFill>
                <w14:solidFill>
                  <w14:schemeClr w14:val="tx1"/>
                </w14:solidFill>
              </w14:textFill>
            </w:rPr>
            <m:rPr>
              <m:sty m:val="p"/>
            </m:rPr>
            <m:t>=</m:t>
          </m:r>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sSup>
                <m:sSupPr>
                  <m:ctrlPr>
                    <w:rPr>
                      <w:rFonts w:ascii="Cambria Math" w:hAnsi="Cambria Math"/>
                      <w:color w:val="000000"/>
                      <w14:textFill>
                        <w14:solidFill>
                          <w14:schemeClr w14:val="tx1"/>
                        </w14:solidFill>
                      </w14:textFill>
                    </w:rPr>
                  </m:ctrlPr>
                </m:sSupPr>
                <m:e>
                  <m:d>
                    <m:dPr>
                      <m:begChr m:val="["/>
                      <m:endChr m:val="]"/>
                      <m:ctrlPr>
                        <w:rPr>
                          <w:rFonts w:ascii="Cambria Math" w:hAnsi="Cambria Math"/>
                          <w:color w:val="000000"/>
                          <w14:textFill>
                            <w14:solidFill>
                              <w14:schemeClr w14:val="tx1"/>
                            </w14:solidFill>
                          </w14:textFill>
                        </w:rPr>
                      </m:ctrlPr>
                    </m:dPr>
                    <m:e>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∂f</m:t>
                          </m:r>
                        </m:num>
                        <m:den>
                          <m:r>
                            <w:rPr>
                              <w:rFonts w:ascii="Cambria Math" w:hAnsi="Cambria Math"/>
                              <w:color w:val="000000" w:themeColor="text1"/>
                              <w14:textFill>
                                <w14:solidFill>
                                  <w14:schemeClr w14:val="tx1"/>
                                </w14:solidFill>
                              </w14:textFill>
                            </w:rPr>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den>
                      </m:f>
                    </m:e>
                  </m:d>
                </m:e>
                <m:sup>
                  <m:r>
                    <w:rPr>
                      <w:rFonts w:ascii="Cambria Math" w:hAnsi="Cambria Math"/>
                      <w:color w:val="000000" w:themeColor="text1"/>
                      <w14:textFill>
                        <w14:solidFill>
                          <w14:schemeClr w14:val="tx1"/>
                        </w14:solidFill>
                      </w14:textFill>
                    </w:rPr>
                    <m:rPr>
                      <m:sty m:val="p"/>
                    </m:rPr>
                    <m:t>2</m:t>
                  </m:r>
                </m:sup>
              </m:sSup>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t>u</m:t>
                  </m:r>
                </m:e>
                <m:sup>
                  <m:r>
                    <w:rPr>
                      <w:rFonts w:ascii="Cambria Math" w:hAnsi="Cambria Math"/>
                      <w:color w:val="000000" w:themeColor="text1"/>
                      <w14:textFill>
                        <w14:solidFill>
                          <w14:schemeClr w14:val="tx1"/>
                        </w14:solidFill>
                      </w14:textFill>
                    </w:rPr>
                    <m:rPr>
                      <m:sty m:val="p"/>
                    </m:rPr>
                    <m:t>2</m:t>
                  </m:r>
                </m:sup>
              </m:s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d>
              <m:r>
                <w:rPr>
                  <w:rFonts w:ascii="Cambria Math" w:hAnsi="Cambria Math"/>
                  <w:color w:val="000000" w:themeColor="text1"/>
                  <w14:textFill>
                    <w14:solidFill>
                      <w14:schemeClr w14:val="tx1"/>
                    </w14:solidFill>
                  </w14:textFill>
                </w:rPr>
                <m:rPr>
                  <m:sty m:val="p"/>
                </m:rPr>
                <m:t>+2</m:t>
              </m:r>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r>
                    <w:rPr>
                      <w:rFonts w:ascii="Cambria Math" w:hAnsi="Cambria Math"/>
                      <w:color w:val="000000" w:themeColor="text1"/>
                      <w14:textFill>
                        <w14:solidFill>
                          <w14:schemeClr w14:val="tx1"/>
                        </w14:solidFill>
                      </w14:textFill>
                    </w:rPr>
                    <m:rPr>
                      <m:sty m:val="p"/>
                    </m:rPr>
                    <m:t>−1</m:t>
                  </m:r>
                </m:sup>
                <m:e>
                  <m:r>
                    <w:rPr>
                      <w:rFonts w:ascii="Cambria Math" w:hAnsi="Cambria Math" w:eastAsia="Cambria Math" w:cs="Cambria Math"/>
                    </w:rPr>
                    <m:rPr/>
                    <m:t/>
                  </m:r>
                </m:e>
              </m:nary>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j</m:t>
                  </m:r>
                  <m:r>
                    <w:rPr>
                      <w:rFonts w:ascii="Cambria Math" w:hAnsi="Cambria Math"/>
                      <w:color w:val="000000" w:themeColor="text1"/>
                      <w14:textFill>
                        <w14:solidFill>
                          <w14:schemeClr w14:val="tx1"/>
                        </w14:solidFill>
                      </w14:textFill>
                    </w:rPr>
                    <m:rPr>
                      <m:sty m:val="p"/>
                    </m:rPr>
                    <m:t>=</m:t>
                  </m:r>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∂f</m:t>
                  </m:r>
                </m:num>
                <m:den>
                  <m:r>
                    <w:rPr>
                      <w:rFonts w:ascii="Cambria Math" w:hAnsi="Cambria Math"/>
                      <w:color w:val="000000" w:themeColor="text1"/>
                      <w14:textFill>
                        <w14:solidFill>
                          <w14:schemeClr w14:val="tx1"/>
                        </w14:solidFill>
                      </w14:textFill>
                    </w:rPr>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den>
              </m:f>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∂f</m:t>
                  </m:r>
                </m:num>
                <m:den>
                  <m:r>
                    <w:rPr>
                      <w:rFonts w:ascii="Cambria Math" w:hAnsi="Cambria Math"/>
                      <w:color w:val="000000" w:themeColor="text1"/>
                      <w14:textFill>
                        <w14:solidFill>
                          <w14:schemeClr w14:val="tx1"/>
                        </w14:solidFill>
                      </w14:textFill>
                    </w:rPr>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den>
              </m:f>
              <m:r>
                <w:rPr>
                  <w:rFonts w:ascii="Cambria Math" w:hAnsi="Cambria Math"/>
                  <w:color w:val="000000" w:themeColor="text1"/>
                  <w14:textFill>
                    <w14:solidFill>
                      <w14:schemeClr w14:val="tx1"/>
                    </w14:solidFill>
                  </w14:textFill>
                </w:rPr>
                <m:rPr/>
                <m:t>r</m:t>
              </m:r>
              <m:d>
                <m:dPr>
                  <m:sepChr m:val=","/>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e>
              </m:d>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d>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e>
              </m:d>
            </m:e>
          </m:rad>
        </m:oMath>
      </m:oMathPara>
      <w:r/>
      <w:r>
        <w:rPr>
          <w:color w:val="000000" w:themeColor="text1"/>
          <w14:textFill>
            <w14:solidFill>
              <w14:schemeClr w14:val="tx1"/>
            </w14:solidFill>
          </w14:textFill>
        </w:rPr>
      </w:r>
    </w:p>
    <w:p>
      <w:pPr>
        <w:pStyle w:val="1996"/>
        <w:numPr>
          <w:ilvl w:val="0"/>
          <w:numId w:val="34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当各输入量xi是彼此独立或不相关时，相关系数为零时：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Para>
        <m:oMathParaPr/>
        <m:oMath>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up>
              <m:r>
                <w:rPr>
                  <w:rFonts w:ascii="Cambria Math" w:hAnsi="Cambria Math"/>
                  <w:color w:val="000000" w:themeColor="text1"/>
                  <w14:textFill>
                    <w14:solidFill>
                      <w14:schemeClr w14:val="tx1"/>
                    </w14:solidFill>
                  </w14:textFill>
                </w:rPr>
                <m:rPr>
                  <m:sty m:val="p"/>
                </m:rPr>
                <m:t>2</m:t>
              </m:r>
            </m:sup>
          </m:sSubSup>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r>
            <w:rPr>
              <w:rFonts w:ascii="Cambria Math" w:hAnsi="Cambria Math"/>
              <w:color w:val="000000" w:themeColor="text1"/>
              <w14:textFill>
                <w14:solidFill>
                  <w14:schemeClr w14:val="tx1"/>
                </w14:solidFill>
              </w14:textFill>
            </w:rPr>
            <m:rPr>
              <m:sty m:val="p"/>
            </m:rPr>
            <m:t>=</m:t>
          </m:r>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c</m:t>
              </m:r>
            </m:e>
            <m:sub>
              <m:r>
                <w:rPr>
                  <w:rFonts w:ascii="Cambria Math" w:hAnsi="Cambria Math"/>
                  <w:color w:val="000000" w:themeColor="text1"/>
                  <w14:textFill>
                    <w14:solidFill>
                      <w14:schemeClr w14:val="tx1"/>
                    </w14:solidFill>
                  </w14:textFill>
                </w:rPr>
                <m:rPr/>
                <m:t>i</m:t>
              </m:r>
            </m:sub>
            <m:sup>
              <m:r>
                <w:rPr>
                  <w:rFonts w:ascii="Cambria Math" w:hAnsi="Cambria Math"/>
                  <w:color w:val="000000" w:themeColor="text1"/>
                  <w14:textFill>
                    <w14:solidFill>
                      <w14:schemeClr w14:val="tx1"/>
                    </w14:solidFill>
                  </w14:textFill>
                </w:rPr>
                <m:rPr>
                  <m:sty m:val="p"/>
                </m:rPr>
                <m:t>2</m:t>
              </m:r>
            </m:sup>
          </m:sSubSup>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t>u</m:t>
              </m:r>
            </m:e>
            <m:sup>
              <m:r>
                <w:rPr>
                  <w:rFonts w:ascii="Cambria Math" w:hAnsi="Cambria Math"/>
                  <w:color w:val="000000" w:themeColor="text1"/>
                  <w14:textFill>
                    <w14:solidFill>
                      <w14:schemeClr w14:val="tx1"/>
                    </w14:solidFill>
                  </w14:textFill>
                </w:rPr>
                <m:rPr>
                  <m:sty m:val="p"/>
                </m:rPr>
                <m:t>2</m:t>
              </m:r>
            </m:sup>
          </m:s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d>
          <m:r>
            <w:rPr>
              <w:rFonts w:ascii="Cambria Math" w:hAnsi="Cambria Math"/>
              <w:color w:val="000000" w:themeColor="text1"/>
              <w14:textFill>
                <w14:solidFill>
                  <w14:schemeClr w14:val="tx1"/>
                </w14:solidFill>
              </w14:textFill>
            </w:rPr>
            <m:rPr>
              <m:sty m:val="p"/>
            </m:rPr>
            <m:t>=</m:t>
          </m:r>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i</m:t>
              </m:r>
            </m:sub>
            <m:sup>
              <m:r>
                <w:rPr>
                  <w:rFonts w:ascii="Cambria Math" w:hAnsi="Cambria Math"/>
                  <w:color w:val="000000" w:themeColor="text1"/>
                  <w14:textFill>
                    <w14:solidFill>
                      <w14:schemeClr w14:val="tx1"/>
                    </w14:solidFill>
                  </w14:textFill>
                </w:rPr>
                <m:rPr>
                  <m:sty m:val="p"/>
                </m:rPr>
                <m:t>2</m:t>
              </m:r>
            </m:sup>
          </m:sSubSup>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oMath>
      </m:oMathPara>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式中：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c</m:t>
            </m:r>
          </m:e>
          <m:sub>
            <m:r>
              <w:rPr>
                <w:rFonts w:ascii="Cambria Math" w:hAnsi="Cambria Math"/>
                <w:color w:val="000000" w:themeColor="text1"/>
                <w14:textFill>
                  <w14:solidFill>
                    <w14:schemeClr w14:val="tx1"/>
                  </w14:solidFill>
                </w14:textFill>
              </w:rPr>
              <m:rPr/>
              <m:t>i</m:t>
            </m:r>
          </m:sub>
        </m:sSub>
        <m:r>
          <w:rPr>
            <w:rFonts w:ascii="Cambria Math" w:hAnsi="Cambria Math"/>
            <w:color w:val="000000" w:themeColor="text1"/>
            <w14:textFill>
              <w14:solidFill>
                <w14:schemeClr w14:val="tx1"/>
              </w14:solidFill>
            </w14:textFill>
          </w:rPr>
          <m:rPr>
            <m:sty m:val="p"/>
          </m:rPr>
          <m:t>=</m:t>
        </m:r>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∂f</m:t>
            </m:r>
          </m:num>
          <m:den>
            <m:r>
              <w:rPr>
                <w:rFonts w:ascii="Cambria Math" w:hAnsi="Cambria Math"/>
                <w:color w:val="000000" w:themeColor="text1"/>
                <w14:textFill>
                  <w14:solidFill>
                    <w14:schemeClr w14:val="tx1"/>
                  </w14:solidFill>
                </w14:textFill>
              </w:rPr>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den>
        </m:f>
      </m:oMath>
      <w:r>
        <w:rPr>
          <w:rFonts w:ascii="Arial" w:hAnsi="Arial"/>
          <w:color w:val="000000" w:themeColor="text1"/>
          <w14:textFill>
            <w14:solidFill>
              <w14:schemeClr w14:val="tx1"/>
            </w14:solidFill>
          </w14:textFill>
        </w:rPr>
        <w:t xml:space="preserve">,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i</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r>
          <w:rPr>
            <w:rFonts w:ascii="Cambria Math" w:hAnsi="Cambria Math"/>
            <w:color w:val="000000" w:themeColor="text1"/>
            <w14:textFill>
              <w14:solidFill>
                <w14:schemeClr w14:val="tx1"/>
              </w14:solidFill>
            </w14:textFill>
          </w:rPr>
          <m:rPr>
            <m:sty m:val="p"/>
          </m:rPr>
          <m:t>=</m:t>
        </m:r>
        <m:d>
          <m:dPr>
            <m:begChr m:val="|"/>
            <m:endChr m:val="|"/>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c</m:t>
                </m:r>
              </m:e>
              <m:sub>
                <m:r>
                  <w:rPr>
                    <w:rFonts w:ascii="Cambria Math" w:hAnsi="Cambria Math"/>
                    <w:color w:val="000000" w:themeColor="text1"/>
                    <w14:textFill>
                      <w14:solidFill>
                        <w14:schemeClr w14:val="tx1"/>
                      </w14:solidFill>
                    </w14:textFill>
                  </w:rPr>
                  <m:rPr/>
                  <m:t>i</m:t>
                </m:r>
              </m:sub>
            </m:sSub>
          </m:e>
        </m:d>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d>
      </m:oMath>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在不确定度评估中，在输入量x1,x2,......,xn为彼此独立的条件下，合成标准不确定度可采用以下两个计算规则：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ascii="Arial" w:hAnsi="Arial"/>
          <w:color w:val="000000" w:themeColor="text1"/>
          <w14:textFill>
            <w14:solidFill>
              <w14:schemeClr w14:val="tx1"/>
            </w14:solidFill>
          </w14:textFill>
        </w:rPr>
        <w:t xml:space="preserve">a)对于线性函数关系式，只涉及到和/或差的数学模型：</w:t>
      </w:r>
      <m:oMath>
        <m:r>
          <w:rPr>
            <w:rFonts w:ascii="Cambria Math" w:hAnsi="Cambria Math"/>
            <w:color w:val="000000" w:themeColor="text1"/>
            <w14:textFill>
              <w14:solidFill>
                <w14:schemeClr w14:val="tx1"/>
              </w14:solidFill>
            </w14:textFill>
          </w:rPr>
          <m:rPr/>
          <m:t>y=</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a</m:t>
            </m:r>
          </m:e>
          <m:sub>
            <m:r>
              <w:rPr>
                <w:rFonts w:ascii="Cambria Math" w:hAnsi="Cambria Math"/>
                <w:color w:val="000000" w:themeColor="text1"/>
                <w14:textFill>
                  <w14:solidFill>
                    <w14:schemeClr w14:val="tx1"/>
                  </w14:solidFill>
                </w14:textFill>
              </w:rPr>
              <m:rPr/>
              <m:t>1</m:t>
            </m:r>
          </m:sub>
        </m:sSub>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1</m:t>
            </m:r>
          </m:sub>
        </m:sSub>
        <m:r>
          <w:rPr>
            <w:rFonts w:ascii="Cambria Math" w:hAnsi="Cambria Math"/>
            <w:color w:val="000000" w:themeColor="text1"/>
            <w14:textFill>
              <w14:solidFill>
                <w14:schemeClr w14:val="tx1"/>
              </w14:solidFill>
            </w14:textFill>
          </w:rPr>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a</m:t>
            </m:r>
          </m:e>
          <m:sub>
            <m:r>
              <w:rPr>
                <w:rFonts w:ascii="Cambria Math" w:hAnsi="Cambria Math"/>
                <w:color w:val="000000" w:themeColor="text1"/>
                <w14:textFill>
                  <w14:solidFill>
                    <w14:schemeClr w14:val="tx1"/>
                  </w14:solidFill>
                </w14:textFill>
              </w:rPr>
              <m:rPr/>
              <m:t>2</m:t>
            </m:r>
          </m:sub>
        </m:sSub>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2</m:t>
            </m:r>
          </m:sub>
        </m:sSub>
        <m:r>
          <w:rPr>
            <w:rFonts w:ascii="Cambria Math" w:hAnsi="Cambria Math"/>
            <w:color w:val="000000" w:themeColor="text1"/>
            <w14:textFill>
              <w14:solidFill>
                <w14:schemeClr w14:val="tx1"/>
              </w14:solidFill>
            </w14:textFill>
          </w:rPr>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a</m:t>
            </m:r>
          </m:e>
          <m:sub>
            <m:r>
              <w:rPr>
                <w:rFonts w:ascii="Cambria Math" w:hAnsi="Cambria Math"/>
                <w:color w:val="000000" w:themeColor="text1"/>
                <w14:textFill>
                  <w14:solidFill>
                    <w14:schemeClr w14:val="tx1"/>
                  </w14:solidFill>
                </w14:textFill>
              </w:rPr>
              <m:rPr/>
              <m:t>n</m:t>
            </m:r>
          </m:sub>
        </m:sSub>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oMath>
      <w:r>
        <w:rPr>
          <w:rFonts w:ascii="Arial" w:hAnsi="Arial"/>
          <w:color w:val="000000" w:themeColor="text1"/>
          <w14:textFill>
            <w14:solidFill>
              <w14:schemeClr w14:val="tx1"/>
            </w14:solidFill>
          </w14:textFill>
        </w:rPr>
        <w:t xml:space="preserve">,输入量的偏导十分简单，即其系数，因此，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Para>
        <m:oMathParaP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r>
            <w:rPr>
              <w:rFonts w:ascii="Cambria Math" w:hAnsi="Cambria Math"/>
              <w:color w:val="000000" w:themeColor="text1"/>
              <w14:textFill>
                <w14:solidFill>
                  <w14:schemeClr w14:val="tx1"/>
                </w14:solidFill>
              </w14:textFill>
            </w:rPr>
            <m:rPr>
              <m:sty m:val="p"/>
            </m:rPr>
            <m:t>=</m:t>
          </m:r>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a</m:t>
                  </m:r>
                </m:e>
                <m:sub>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sty m:val="p"/>
                    </m:rPr>
                    <m:t>2</m:t>
                  </m:r>
                </m:sup>
              </m:sSubSup>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t>u</m:t>
                  </m:r>
                </m:e>
                <m:sup>
                  <m:r>
                    <w:rPr>
                      <w:rFonts w:ascii="Cambria Math" w:hAnsi="Cambria Math"/>
                      <w:color w:val="000000" w:themeColor="text1"/>
                      <w14:textFill>
                        <w14:solidFill>
                          <w14:schemeClr w14:val="tx1"/>
                        </w14:solidFill>
                      </w14:textFill>
                    </w:rPr>
                    <m:rPr>
                      <m:sty m:val="p"/>
                    </m:rPr>
                    <m:t>2</m:t>
                  </m:r>
                </m:sup>
              </m:s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sty m:val="p"/>
                        </m:rPr>
                        <m:t>1</m:t>
                      </m:r>
                    </m:sub>
                  </m:sSub>
                </m:e>
              </m:d>
              <m:r>
                <w:rPr>
                  <w:rFonts w:ascii="Cambria Math" w:hAnsi="Cambria Math"/>
                  <w:color w:val="000000" w:themeColor="text1"/>
                  <w14:textFill>
                    <w14:solidFill>
                      <w14:schemeClr w14:val="tx1"/>
                    </w14:solidFill>
                  </w14:textFill>
                </w:rPr>
                <m:rPr>
                  <m:sty m:val="p"/>
                </m:rPr>
                <m:t>+</m:t>
              </m:r>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a</m:t>
                  </m:r>
                </m:e>
                <m:sub>
                  <m:r>
                    <w:rPr>
                      <w:rFonts w:ascii="Cambria Math" w:hAnsi="Cambria Math"/>
                      <w:color w:val="000000" w:themeColor="text1"/>
                      <w14:textFill>
                        <w14:solidFill>
                          <w14:schemeClr w14:val="tx1"/>
                        </w14:solidFill>
                      </w14:textFill>
                    </w:rPr>
                    <m:rPr>
                      <m:sty m:val="p"/>
                    </m:rPr>
                    <m:t>2</m:t>
                  </m:r>
                </m:sub>
                <m:sup>
                  <m:r>
                    <w:rPr>
                      <w:rFonts w:ascii="Cambria Math" w:hAnsi="Cambria Math"/>
                      <w:color w:val="000000" w:themeColor="text1"/>
                      <w14:textFill>
                        <w14:solidFill>
                          <w14:schemeClr w14:val="tx1"/>
                        </w14:solidFill>
                      </w14:textFill>
                    </w:rPr>
                    <m:rPr>
                      <m:sty m:val="p"/>
                    </m:rPr>
                    <m:t>2</m:t>
                  </m:r>
                </m:sup>
              </m:sSubSup>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t>u</m:t>
                  </m:r>
                </m:e>
                <m:sup>
                  <m:r>
                    <w:rPr>
                      <w:rFonts w:ascii="Cambria Math" w:hAnsi="Cambria Math"/>
                      <w:color w:val="000000" w:themeColor="text1"/>
                      <w14:textFill>
                        <w14:solidFill>
                          <w14:schemeClr w14:val="tx1"/>
                        </w14:solidFill>
                      </w14:textFill>
                    </w:rPr>
                    <m:rPr>
                      <m:sty m:val="p"/>
                    </m:rPr>
                    <m:t>2</m:t>
                  </m:r>
                </m:sup>
              </m:s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sty m:val="p"/>
                        </m:rPr>
                        <m:t>2</m:t>
                      </m:r>
                    </m:sub>
                  </m:sSub>
                </m:e>
              </m:d>
              <m:r>
                <w:rPr>
                  <w:rFonts w:ascii="Cambria Math" w:hAnsi="Cambria Math"/>
                  <w:color w:val="000000" w:themeColor="text1"/>
                  <w14:textFill>
                    <w14:solidFill>
                      <w14:schemeClr w14:val="tx1"/>
                    </w14:solidFill>
                  </w14:textFill>
                </w:rPr>
                <m:rPr>
                  <m:sty m:val="p"/>
                </m:rPr>
                <m:t>+......+</m:t>
              </m:r>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a</m:t>
                  </m:r>
                </m:e>
                <m:sub>
                  <m:r>
                    <w:rPr>
                      <w:rFonts w:ascii="Cambria Math" w:hAnsi="Cambria Math"/>
                      <w:color w:val="000000" w:themeColor="text1"/>
                      <w14:textFill>
                        <w14:solidFill>
                          <w14:schemeClr w14:val="tx1"/>
                        </w14:solidFill>
                      </w14:textFill>
                    </w:rPr>
                    <m:rPr/>
                    <m:t>n</m:t>
                  </m:r>
                </m:sub>
                <m:sup>
                  <m:r>
                    <w:rPr>
                      <w:rFonts w:ascii="Cambria Math" w:hAnsi="Cambria Math"/>
                      <w:color w:val="000000" w:themeColor="text1"/>
                      <w14:textFill>
                        <w14:solidFill>
                          <w14:schemeClr w14:val="tx1"/>
                        </w14:solidFill>
                      </w14:textFill>
                    </w:rPr>
                    <m:rPr>
                      <m:sty m:val="p"/>
                    </m:rPr>
                    <m:t>2</m:t>
                  </m:r>
                </m:sup>
              </m:sSubSup>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t>u</m:t>
                  </m:r>
                </m:e>
                <m:sup>
                  <m:r>
                    <w:rPr>
                      <w:rFonts w:ascii="Cambria Math" w:hAnsi="Cambria Math"/>
                      <w:color w:val="000000" w:themeColor="text1"/>
                      <w14:textFill>
                        <w14:solidFill>
                          <w14:schemeClr w14:val="tx1"/>
                        </w14:solidFill>
                      </w14:textFill>
                    </w:rPr>
                    <m:rPr>
                      <m:sty m:val="p"/>
                    </m:rPr>
                    <m:t>2</m:t>
                  </m:r>
                </m:sup>
              </m:s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e>
              </m:d>
            </m:e>
          </m:rad>
        </m:oMath>
      </m:oMathPara>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ascii="Arial" w:hAnsi="Arial"/>
          <w:color w:val="000000" w:themeColor="text1"/>
          <w14:textFill>
            <w14:solidFill>
              <w14:schemeClr w14:val="tx1"/>
            </w14:solidFill>
          </w14:textFill>
        </w:rPr>
        <w:t xml:space="preserve">各收入量正强相关，ai为+1或-1，合成标准不确定度uc(y)为各分量的方和根：</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r>
          <w:rPr>
            <w:rFonts w:ascii="Cambria Math" w:hAnsi="Cambria Math"/>
            <w:color w:val="000000" w:themeColor="text1"/>
            <w14:textFill>
              <w14:solidFill>
                <w14:schemeClr w14:val="tx1"/>
              </w14:solidFill>
            </w14:textFill>
          </w:rPr>
          <m:rPr/>
          <m:t>=</m:t>
        </m:r>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t>u</m:t>
                </m:r>
              </m:e>
              <m:sup>
                <m:r>
                  <w:rPr>
                    <w:rFonts w:ascii="Cambria Math" w:hAnsi="Cambria Math"/>
                    <w:color w:val="000000" w:themeColor="text1"/>
                    <w14:textFill>
                      <w14:solidFill>
                        <w14:schemeClr w14:val="tx1"/>
                      </w14:solidFill>
                    </w14:textFill>
                  </w:rPr>
                  <m:rPr/>
                  <m:t>2</m:t>
                </m:r>
              </m:sup>
            </m:s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1</m:t>
                    </m:r>
                  </m:sub>
                </m:sSub>
              </m:e>
            </m:d>
            <m:r>
              <w:rPr>
                <w:rFonts w:ascii="Cambria Math" w:hAnsi="Cambria Math"/>
                <w:color w:val="000000" w:themeColor="text1"/>
                <w14:textFill>
                  <w14:solidFill>
                    <w14:schemeClr w14:val="tx1"/>
                  </w14:solidFill>
                </w14:textFill>
              </w:rPr>
              <m:rPr/>
              <m:t>+</m:t>
            </m:r>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t>u</m:t>
                </m:r>
              </m:e>
              <m:sup>
                <m:r>
                  <w:rPr>
                    <w:rFonts w:ascii="Cambria Math" w:hAnsi="Cambria Math"/>
                    <w:color w:val="000000" w:themeColor="text1"/>
                    <w14:textFill>
                      <w14:solidFill>
                        <w14:schemeClr w14:val="tx1"/>
                      </w14:solidFill>
                    </w14:textFill>
                  </w:rPr>
                  <m:rPr/>
                  <m:t>2</m:t>
                </m:r>
              </m:sup>
            </m:s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2</m:t>
                    </m:r>
                  </m:sub>
                </m:sSub>
              </m:e>
            </m:d>
            <m:r>
              <w:rPr>
                <w:rFonts w:ascii="Cambria Math" w:hAnsi="Cambria Math"/>
                <w:color w:val="000000" w:themeColor="text1"/>
                <w14:textFill>
                  <w14:solidFill>
                    <w14:schemeClr w14:val="tx1"/>
                  </w14:solidFill>
                </w14:textFill>
              </w:rPr>
              <m:rPr/>
              <m:t>+......+</m:t>
            </m:r>
            <m:sSup>
              <m:sSupPr>
                <m:ctrlPr>
                  <w:rPr>
                    <w:rFonts w:ascii="Cambria Math" w:hAnsi="Cambria Math"/>
                    <w:color w:val="000000"/>
                    <w14:textFill>
                      <w14:solidFill>
                        <w14:schemeClr w14:val="tx1"/>
                      </w14:solidFill>
                    </w14:textFill>
                  </w:rPr>
                </m:ctrlPr>
              </m:sSupPr>
              <m:e>
                <m:r>
                  <w:rPr>
                    <w:rFonts w:ascii="Cambria Math" w:hAnsi="Cambria Math"/>
                    <w:color w:val="000000" w:themeColor="text1"/>
                    <w14:textFill>
                      <w14:solidFill>
                        <w14:schemeClr w14:val="tx1"/>
                      </w14:solidFill>
                    </w14:textFill>
                  </w:rPr>
                  <m:rPr/>
                  <m:t>u</m:t>
                </m:r>
              </m:e>
              <m:sup>
                <m:r>
                  <w:rPr>
                    <w:rFonts w:ascii="Cambria Math" w:hAnsi="Cambria Math"/>
                    <w:color w:val="000000" w:themeColor="text1"/>
                    <w14:textFill>
                      <w14:solidFill>
                        <w14:schemeClr w14:val="tx1"/>
                      </w14:solidFill>
                    </w14:textFill>
                  </w:rPr>
                  <m:rPr/>
                  <m:t>2</m:t>
                </m:r>
              </m:sup>
            </m:s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e>
            </m:d>
          </m:e>
        </m:rad>
      </m:oMath>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b)对只涉及积或商的数学模型，如</w:t>
      </w:r>
      <w:r>
        <w:rPr>
          <w:i/>
          <w:color w:val="000000" w:themeColor="text1"/>
          <w14:textFill>
            <w14:solidFill>
              <w14:schemeClr w14:val="tx1"/>
            </w14:solidFill>
          </w14:textFill>
        </w:rPr>
        <w:t xml:space="preserve">y</w:t>
      </w:r>
      <w:r>
        <w:rPr>
          <w:color w:val="000000" w:themeColor="text1"/>
          <w14:textFill>
            <w14:solidFill>
              <w14:schemeClr w14:val="tx1"/>
            </w14:solidFill>
          </w14:textFill>
        </w:rPr>
        <w:t xml:space="preserve"> =x1x2x3....或</w:t>
      </w:r>
      <w:r>
        <w:rPr>
          <w:i/>
          <w:color w:val="000000" w:themeColor="text1"/>
          <w14:textFill>
            <w14:solidFill>
              <w14:schemeClr w14:val="tx1"/>
            </w14:solidFill>
          </w14:textFill>
        </w:rPr>
        <w:t xml:space="preserve">y</w:t>
      </w:r>
      <w:r>
        <w:rPr>
          <w:color w:val="000000" w:themeColor="text1"/>
          <w14:textFill>
            <w14:solidFill>
              <w14:schemeClr w14:val="tx1"/>
            </w14:solidFill>
          </w14:textFill>
        </w:rPr>
        <w:t xml:space="preserve"> =x1/x2x3...,可分别以各分量的相对不确定度合成，相对合成标准不确定度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可用下式表示：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Para>
        <m:oMathParaP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crel</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r>
            <w:rPr>
              <w:rFonts w:ascii="Cambria Math" w:hAnsi="Cambria Math"/>
              <w:color w:val="000000" w:themeColor="text1"/>
              <w14:textFill>
                <w14:solidFill>
                  <w14:schemeClr w14:val="tx1"/>
                </w14:solidFill>
              </w14:textFill>
            </w:rPr>
            <m:rPr>
              <m:sty m:val="p"/>
            </m:rPr>
            <m:t>=</m:t>
          </m:r>
          <m:f>
            <m:fPr>
              <m:ctrlPr>
                <w:rPr>
                  <w:rFonts w:ascii="Cambria Math" w:hAnsi="Cambria Math"/>
                  <w:color w:val="000000"/>
                  <w14:textFill>
                    <w14:solidFill>
                      <w14:schemeClr w14:val="tx1"/>
                    </w14:solidFill>
                  </w14:textFill>
                </w:rPr>
              </m:ctrlPr>
            </m:fPr>
            <m:num>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num>
            <m:den>
              <m:r>
                <w:rPr>
                  <w:rFonts w:ascii="Cambria Math" w:hAnsi="Cambria Math"/>
                  <w:color w:val="000000" w:themeColor="text1"/>
                  <w14:textFill>
                    <w14:solidFill>
                      <w14:schemeClr w14:val="tx1"/>
                    </w14:solidFill>
                  </w14:textFill>
                </w:rPr>
                <m:rPr/>
                <m:t>y</m:t>
              </m:r>
            </m:den>
          </m:f>
          <m:r>
            <w:rPr>
              <w:rFonts w:ascii="Cambria Math" w:hAnsi="Cambria Math"/>
              <w:color w:val="000000" w:themeColor="text1"/>
              <w14:textFill>
                <w14:solidFill>
                  <w14:schemeClr w14:val="tx1"/>
                </w14:solidFill>
              </w14:textFill>
            </w:rPr>
            <m:rPr>
              <m:sty m:val="p"/>
            </m:rPr>
            <m:t>=</m:t>
          </m:r>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sSup>
                <m:sSupPr>
                  <m:ctrlPr>
                    <w:rPr>
                      <w:rFonts w:ascii="Cambria Math" w:hAnsi="Cambria Math"/>
                      <w:color w:val="000000"/>
                      <w14:textFill>
                        <w14:solidFill>
                          <w14:schemeClr w14:val="tx1"/>
                        </w14:solidFill>
                      </w14:textFill>
                    </w:rPr>
                  </m:ctrlPr>
                </m:sSupPr>
                <m:e>
                  <m:d>
                    <m:dPr>
                      <m:ctrlPr>
                        <w:rPr>
                          <w:rFonts w:ascii="Cambria Math" w:hAnsi="Cambria Math"/>
                          <w:color w:val="000000"/>
                          <w14:textFill>
                            <w14:solidFill>
                              <w14:schemeClr w14:val="tx1"/>
                            </w14:solidFill>
                          </w14:textFill>
                        </w:rPr>
                      </m:ctrlPr>
                    </m:dPr>
                    <m:e>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sty m:val="p"/>
                                    </m:rPr>
                                    <m:t>1</m:t>
                                  </m:r>
                                </m:sub>
                              </m:sSub>
                            </m:e>
                          </m:d>
                        </m:num>
                        <m:den>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sty m:val="p"/>
                                </m:rPr>
                                <m:t>1</m:t>
                              </m:r>
                            </m:sub>
                          </m:sSub>
                        </m:den>
                      </m:f>
                    </m:e>
                  </m:d>
                </m:e>
                <m:sup>
                  <m:r>
                    <w:rPr>
                      <w:rFonts w:ascii="Cambria Math" w:hAnsi="Cambria Math"/>
                      <w:color w:val="000000" w:themeColor="text1"/>
                      <w14:textFill>
                        <w14:solidFill>
                          <w14:schemeClr w14:val="tx1"/>
                        </w14:solidFill>
                      </w14:textFill>
                    </w:rPr>
                    <m:rPr>
                      <m:sty m:val="p"/>
                    </m:rPr>
                    <m:t>2</m:t>
                  </m:r>
                </m:sup>
              </m:sSup>
              <m:r>
                <w:rPr>
                  <w:rFonts w:ascii="Cambria Math" w:hAnsi="Cambria Math"/>
                  <w:color w:val="000000" w:themeColor="text1"/>
                  <w14:textFill>
                    <w14:solidFill>
                      <w14:schemeClr w14:val="tx1"/>
                    </w14:solidFill>
                  </w14:textFill>
                </w:rPr>
                <m:rPr>
                  <m:sty m:val="p"/>
                </m:rPr>
                <m:t>+</m:t>
              </m:r>
              <m:sSup>
                <m:sSupPr>
                  <m:ctrlPr>
                    <w:rPr>
                      <w:rFonts w:ascii="Cambria Math" w:hAnsi="Cambria Math"/>
                      <w:color w:val="000000"/>
                      <w14:textFill>
                        <w14:solidFill>
                          <w14:schemeClr w14:val="tx1"/>
                        </w14:solidFill>
                      </w14:textFill>
                    </w:rPr>
                  </m:ctrlPr>
                </m:sSupPr>
                <m:e>
                  <m:d>
                    <m:dPr>
                      <m:ctrlPr>
                        <w:rPr>
                          <w:rFonts w:ascii="Cambria Math" w:hAnsi="Cambria Math"/>
                          <w:color w:val="000000"/>
                          <w14:textFill>
                            <w14:solidFill>
                              <w14:schemeClr w14:val="tx1"/>
                            </w14:solidFill>
                          </w14:textFill>
                        </w:rPr>
                      </m:ctrlPr>
                    </m:dPr>
                    <m:e>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sty m:val="p"/>
                                    </m:rPr>
                                    <m:t>2</m:t>
                                  </m:r>
                                </m:sub>
                              </m:sSub>
                            </m:e>
                          </m:d>
                        </m:num>
                        <m:den>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sty m:val="p"/>
                                </m:rPr>
                                <m:t>2</m:t>
                              </m:r>
                            </m:sub>
                          </m:sSub>
                        </m:den>
                      </m:f>
                    </m:e>
                  </m:d>
                </m:e>
                <m:sup>
                  <m:r>
                    <w:rPr>
                      <w:rFonts w:ascii="Cambria Math" w:hAnsi="Cambria Math"/>
                      <w:color w:val="000000" w:themeColor="text1"/>
                      <w14:textFill>
                        <w14:solidFill>
                          <w14:schemeClr w14:val="tx1"/>
                        </w14:solidFill>
                      </w14:textFill>
                    </w:rPr>
                    <m:rPr>
                      <m:sty m:val="p"/>
                    </m:rPr>
                    <m:t>2</m:t>
                  </m:r>
                </m:sup>
              </m:sSup>
              <m:r>
                <w:rPr>
                  <w:rFonts w:ascii="Cambria Math" w:hAnsi="Cambria Math"/>
                  <w:color w:val="000000" w:themeColor="text1"/>
                  <w14:textFill>
                    <w14:solidFill>
                      <w14:schemeClr w14:val="tx1"/>
                    </w14:solidFill>
                  </w14:textFill>
                </w:rPr>
                <m:rPr>
                  <m:sty m:val="p"/>
                </m:rPr>
                <m:t>+......+</m:t>
              </m:r>
              <m:sSup>
                <m:sSupPr>
                  <m:ctrlPr>
                    <w:rPr>
                      <w:rFonts w:ascii="Cambria Math" w:hAnsi="Cambria Math"/>
                      <w:color w:val="000000"/>
                      <w14:textFill>
                        <w14:solidFill>
                          <w14:schemeClr w14:val="tx1"/>
                        </w14:solidFill>
                      </w14:textFill>
                    </w:rPr>
                  </m:ctrlPr>
                </m:sSupPr>
                <m:e>
                  <m:d>
                    <m:dPr>
                      <m:ctrlPr>
                        <w:rPr>
                          <w:rFonts w:ascii="Cambria Math" w:hAnsi="Cambria Math"/>
                          <w:color w:val="000000"/>
                          <w14:textFill>
                            <w14:solidFill>
                              <w14:schemeClr w14:val="tx1"/>
                            </w14:solidFill>
                          </w14:textFill>
                        </w:rPr>
                      </m:ctrlPr>
                    </m:dPr>
                    <m:e>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e>
                          </m:d>
                        </m:num>
                        <m:den>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den>
                      </m:f>
                    </m:e>
                  </m:d>
                </m:e>
                <m:sup>
                  <m:r>
                    <w:rPr>
                      <w:rFonts w:ascii="Cambria Math" w:hAnsi="Cambria Math"/>
                      <w:color w:val="000000" w:themeColor="text1"/>
                      <w14:textFill>
                        <w14:solidFill>
                          <w14:schemeClr w14:val="tx1"/>
                        </w14:solidFill>
                      </w14:textFill>
                    </w:rPr>
                    <m:rPr>
                      <m:sty m:val="p"/>
                    </m:rPr>
                    <m:t>2</m:t>
                  </m:r>
                </m:sup>
              </m:sSup>
            </m:e>
          </m:rad>
          <m:r>
            <w:rPr>
              <w:rFonts w:ascii="Cambria Math" w:hAnsi="Cambria Math"/>
              <w:color w:val="000000" w:themeColor="text1"/>
              <w14:textFill>
                <w14:solidFill>
                  <w14:schemeClr w14:val="tx1"/>
                </w14:solidFill>
              </w14:textFill>
            </w:rPr>
            <m:rPr>
              <m:sty m:val="p"/>
            </m:rPr>
            <m:t>=</m:t>
          </m:r>
          <m:rad>
            <m:radPr>
              <m:degHide m:val="on"/>
              <m:ctrlPr>
                <w:rPr>
                  <w:rFonts w:ascii="Cambria Math" w:hAnsi="Cambria Math"/>
                  <w:color w:val="000000"/>
                  <w14:textFill>
                    <w14:solidFill>
                      <w14:schemeClr w14:val="tx1"/>
                    </w14:solidFill>
                  </w14:textFill>
                </w:rPr>
              </m:ctrlPr>
            </m:radPr>
            <m:deg>
              <m:r>
                <w:rPr>
                  <w:rFonts w:ascii="Cambria Math" w:hAnsi="Cambria Math" w:eastAsia="Cambria Math" w:cs="Cambria Math"/>
                </w:rPr>
                <m:rPr/>
                <m:t/>
              </m:r>
            </m:deg>
            <m:e>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rel</m:t>
                  </m:r>
                </m:sub>
                <m:sup>
                  <m:r>
                    <w:rPr>
                      <w:rFonts w:ascii="Cambria Math" w:hAnsi="Cambria Math"/>
                      <w:color w:val="000000" w:themeColor="text1"/>
                      <w14:textFill>
                        <w14:solidFill>
                          <w14:schemeClr w14:val="tx1"/>
                        </w14:solidFill>
                      </w14:textFill>
                    </w:rPr>
                    <m:rPr>
                      <m:sty m:val="p"/>
                    </m:rPr>
                    <m:t>2</m:t>
                  </m:r>
                </m:sup>
              </m:sSub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sty m:val="p"/>
                        </m:rPr>
                        <m:t>1</m:t>
                      </m:r>
                    </m:sub>
                  </m:sSub>
                </m:e>
              </m:d>
              <m:r>
                <w:rPr>
                  <w:rFonts w:ascii="Cambria Math" w:hAnsi="Cambria Math"/>
                  <w:color w:val="000000" w:themeColor="text1"/>
                  <w14:textFill>
                    <w14:solidFill>
                      <w14:schemeClr w14:val="tx1"/>
                    </w14:solidFill>
                  </w14:textFill>
                </w:rPr>
                <m:rPr>
                  <m:sty m:val="p"/>
                </m:rPr>
                <m:t>+</m:t>
              </m:r>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rel</m:t>
                  </m:r>
                </m:sub>
                <m:sup>
                  <m:r>
                    <w:rPr>
                      <w:rFonts w:ascii="Cambria Math" w:hAnsi="Cambria Math"/>
                      <w:color w:val="000000" w:themeColor="text1"/>
                      <w14:textFill>
                        <w14:solidFill>
                          <w14:schemeClr w14:val="tx1"/>
                        </w14:solidFill>
                      </w14:textFill>
                    </w:rPr>
                    <m:rPr>
                      <m:sty m:val="p"/>
                    </m:rPr>
                    <m:t>2</m:t>
                  </m:r>
                </m:sup>
              </m:sSub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sty m:val="p"/>
                        </m:rPr>
                        <m:t>2</m:t>
                      </m:r>
                    </m:sub>
                  </m:sSub>
                  <m:r>
                    <w:rPr>
                      <w:rFonts w:ascii="Cambria Math" w:hAnsi="Cambria Math"/>
                      <w:color w:val="000000" w:themeColor="text1"/>
                      <w14:textFill>
                        <w14:solidFill>
                          <w14:schemeClr w14:val="tx1"/>
                        </w14:solidFill>
                      </w14:textFill>
                    </w:rPr>
                    <m:rPr>
                      <m:sty m:val="p"/>
                    </m:rPr>
                    <m:t>+......+</m:t>
                  </m:r>
                  <m:sSubSup>
                    <m:sSubSupPr>
                      <m:alnScr m:val="off"/>
                      <m:ctrlPr>
                        <w:rPr>
                          <w:rFonts w:ascii="Cambria Math" w:hAnsi="Cambria Math"/>
                          <w:color w:val="000000"/>
                          <w14:textFill>
                            <w14:solidFill>
                              <w14:schemeClr w14:val="tx1"/>
                            </w14:solidFill>
                          </w14:textFill>
                        </w:rPr>
                      </m:ctrlPr>
                    </m:sSubSup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rel</m:t>
                      </m:r>
                    </m:sub>
                    <m:sup>
                      <m:r>
                        <w:rPr>
                          <w:rFonts w:ascii="Cambria Math" w:hAnsi="Cambria Math"/>
                          <w:color w:val="000000" w:themeColor="text1"/>
                          <w14:textFill>
                            <w14:solidFill>
                              <w14:schemeClr w14:val="tx1"/>
                            </w14:solidFill>
                          </w14:textFill>
                        </w:rPr>
                        <m:rPr>
                          <m:sty m:val="p"/>
                        </m:rPr>
                        <m:t>2</m:t>
                      </m:r>
                    </m:sup>
                  </m:sSubSup>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e>
                  </m:d>
                </m:e>
              </m:d>
            </m:e>
          </m:rad>
        </m:oMath>
      </m:oMathPara>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即输出量</w:t>
      </w:r>
      <w:r>
        <w:rPr>
          <w:i/>
          <w:color w:val="000000" w:themeColor="text1"/>
          <w14:textFill>
            <w14:solidFill>
              <w14:schemeClr w14:val="tx1"/>
            </w14:solidFill>
          </w14:textFill>
        </w:rPr>
        <w:t xml:space="preserve">y</w:t>
      </w:r>
      <w:r>
        <w:rPr>
          <w:color w:val="000000" w:themeColor="text1"/>
          <w14:textFill>
            <w14:solidFill>
              <w14:schemeClr w14:val="tx1"/>
            </w14:solidFill>
          </w14:textFill>
        </w:rPr>
        <w:t xml:space="preserve">的相对合成标准不确定度ucrel(y)等于各输入量xi相对标准不确定度分量的方和根。 </w:t>
      </w:r>
      <w:r>
        <w:rPr>
          <w:color w:val="000000" w:themeColor="text1"/>
          <w14:textFill>
            <w14:solidFill>
              <w14:schemeClr w14:val="tx1"/>
            </w14:solidFill>
          </w14:textFill>
        </w:rPr>
      </w:r>
    </w:p>
    <w:p>
      <w:pPr>
        <w:pStyle w:val="1996"/>
        <w:numPr>
          <w:ilvl w:val="0"/>
          <w:numId w:val="34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当各输入量间相关时合成标准不确定度的计算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a) 协方差的估算方法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两个输入量的估算值xi与xj的协方差在以下情况时可取为零或忽略不计：</w:t>
      </w:r>
      <w:r>
        <w:rPr>
          <w:color w:val="000000" w:themeColor="text1"/>
          <w14:textFill>
            <w14:solidFill>
              <w14:schemeClr w14:val="tx1"/>
            </w14:solidFill>
          </w14:textFill>
        </w:rPr>
      </w:r>
    </w:p>
    <w:p>
      <w:pPr>
        <w:pStyle w:val="1996"/>
        <w:numPr>
          <w:ilvl w:val="0"/>
          <w:numId w:val="34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xi和xj任意一个量可作为常数处理。</w:t>
      </w:r>
      <w:r>
        <w:rPr>
          <w:color w:val="000000" w:themeColor="text1"/>
          <w14:textFill>
            <w14:solidFill>
              <w14:schemeClr w14:val="tx1"/>
            </w14:solidFill>
          </w14:textFill>
        </w:rPr>
      </w:r>
    </w:p>
    <w:p>
      <w:pPr>
        <w:pStyle w:val="1996"/>
        <w:numPr>
          <w:ilvl w:val="0"/>
          <w:numId w:val="34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在不同实验室用不同测量设备、不同时间测得的量值。</w:t>
      </w:r>
      <w:r>
        <w:rPr>
          <w:color w:val="000000" w:themeColor="text1"/>
          <w14:textFill>
            <w14:solidFill>
              <w14:schemeClr w14:val="tx1"/>
            </w14:solidFill>
          </w14:textFill>
        </w:rPr>
      </w:r>
    </w:p>
    <w:p>
      <w:pPr>
        <w:pStyle w:val="1996"/>
        <w:numPr>
          <w:ilvl w:val="0"/>
          <w:numId w:val="34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独立测量的不同量的测量结果。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b) 用同时观测两个量的方法确定协方差估计值：</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设xik，xjkx分别是Xi,Xj的测得值。两个重复同时观测的输入量Xi,Xj的协方差估计值</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Para>
        <m:oMathParaPr/>
        <m:oMath>
          <m:r>
            <w:rPr>
              <w:rFonts w:ascii="Cambria Math" w:hAnsi="Cambria Math"/>
              <w:color w:val="000000" w:themeColor="text1"/>
              <w14:textFill>
                <w14:solidFill>
                  <w14:schemeClr w14:val="tx1"/>
                </w14:solidFill>
              </w14:textFill>
            </w:rPr>
            <m:rPr/>
            <m:t>u</m:t>
          </m:r>
          <m:d>
            <m:dPr>
              <m:sepChr m:val=","/>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e>
          </m:d>
          <m:r>
            <w:rPr>
              <w:rFonts w:ascii="Cambria Math" w:hAnsi="Cambria Math"/>
              <w:color w:val="000000" w:themeColor="text1"/>
              <w14:textFill>
                <w14:solidFill>
                  <w14:schemeClr w14:val="tx1"/>
                </w14:solidFill>
              </w14:textFill>
            </w:rPr>
            <m:rPr>
              <m:sty m:val="p"/>
            </m:rPr>
            <m:t>=</m:t>
          </m:r>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sty m:val="p"/>
                </m:rPr>
                <m:t>1</m:t>
              </m:r>
            </m:num>
            <m:den>
              <m:r>
                <w:rPr>
                  <w:rFonts w:ascii="Cambria Math" w:hAnsi="Cambria Math"/>
                  <w:color w:val="000000" w:themeColor="text1"/>
                  <w14:textFill>
                    <w14:solidFill>
                      <w14:schemeClr w14:val="tx1"/>
                    </w14:solidFill>
                  </w14:textFill>
                </w:rPr>
                <m:rPr/>
                <m:t>n</m:t>
              </m:r>
              <m:r>
                <w:rPr>
                  <w:rFonts w:ascii="Cambria Math" w:hAnsi="Cambria Math"/>
                  <w:color w:val="000000" w:themeColor="text1"/>
                  <w14:textFill>
                    <w14:solidFill>
                      <w14:schemeClr w14:val="tx1"/>
                    </w14:solidFill>
                  </w14:textFill>
                </w:rPr>
                <m:rPr>
                  <m:sty m:val="p"/>
                </m:rPr>
                <m:t>−1</m:t>
              </m:r>
            </m:den>
          </m:f>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k</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jk</m:t>
                  </m:r>
                </m:sub>
              </m:sSub>
              <m:r>
                <w:rPr>
                  <w:rFonts w:ascii="Cambria Math" w:hAnsi="Cambria Math"/>
                  <w:color w:val="000000" w:themeColor="text1"/>
                  <w14:textFill>
                    <w14:solidFill>
                      <w14:schemeClr w14:val="tx1"/>
                    </w14:solidFill>
                  </w14:textFill>
                </w:rPr>
                <m:rPr>
                  <m:sty m:val="p"/>
                </m:rPr>
                <m:t>−</m:t>
              </m:r>
              <m:acc>
                <m:accPr>
                  <m:chr m:val="̄"/>
                  <m:ctrlPr>
                    <w:rPr>
                      <w:rFonts w:ascii="Cambria Math" w:hAnsi="Cambria Math"/>
                      <w:color w:val="000000"/>
                      <w14:textFill>
                        <w14:solidFill>
                          <w14:schemeClr w14:val="tx1"/>
                        </w14:solidFill>
                      </w14:textFill>
                    </w:rPr>
                  </m:ctrlPr>
                </m:acc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acc>
            </m:e>
          </m:d>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jk</m:t>
                  </m:r>
                </m:sub>
              </m:sSub>
              <m:r>
                <w:rPr>
                  <w:rFonts w:ascii="Cambria Math" w:hAnsi="Cambria Math"/>
                  <w:color w:val="000000" w:themeColor="text1"/>
                  <w14:textFill>
                    <w14:solidFill>
                      <w14:schemeClr w14:val="tx1"/>
                    </w14:solidFill>
                  </w14:textFill>
                </w:rPr>
                <m:rPr>
                  <m:sty m:val="p"/>
                </m:rPr>
                <m:t>−</m:t>
              </m:r>
              <m:acc>
                <m:accPr>
                  <m:chr m:val="̄"/>
                  <m:ctrlPr>
                    <w:rPr>
                      <w:rFonts w:ascii="Cambria Math" w:hAnsi="Cambria Math"/>
                      <w:color w:val="000000"/>
                      <w14:textFill>
                        <w14:solidFill>
                          <w14:schemeClr w14:val="tx1"/>
                        </w14:solidFill>
                      </w14:textFill>
                    </w:rPr>
                  </m:ctrlPr>
                </m:acc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e>
              </m:acc>
            </m:e>
          </m:d>
        </m:oMath>
      </m:oMathPara>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 下标</w:t>
      </w:r>
      <w:r>
        <w:rPr>
          <w:i/>
          <w:color w:val="000000" w:themeColor="text1"/>
          <w14:textFill>
            <w14:solidFill>
              <w14:schemeClr w14:val="tx1"/>
            </w14:solidFill>
          </w14:textFill>
        </w:rPr>
        <w:t xml:space="preserve">k</w:t>
      </w:r>
      <w:r>
        <w:rPr>
          <w:color w:val="000000" w:themeColor="text1"/>
          <w14:textFill>
            <w14:solidFill>
              <w14:schemeClr w14:val="tx1"/>
            </w14:solidFill>
          </w14:textFill>
        </w:rPr>
        <w:t xml:space="preserve">为测量次数（</w:t>
      </w:r>
      <w:r>
        <w:rPr>
          <w:i/>
          <w:color w:val="000000" w:themeColor="text1"/>
          <w14:textFill>
            <w14:solidFill>
              <w14:schemeClr w14:val="tx1"/>
            </w14:solidFill>
          </w14:textFill>
        </w:rPr>
        <w:t xml:space="preserve">k</w:t>
      </w:r>
      <w:r>
        <w:rPr>
          <w:color w:val="000000" w:themeColor="text1"/>
          <w14:textFill>
            <w14:solidFill>
              <w14:schemeClr w14:val="tx1"/>
            </w14:solidFill>
          </w14:textFill>
        </w:rPr>
        <w:t xml:space="preserve">=1,2,…，</w:t>
      </w:r>
      <w:r>
        <w:rPr>
          <w:i/>
          <w:color w:val="000000" w:themeColor="text1"/>
          <w14:textFill>
            <w14:solidFill>
              <w14:schemeClr w14:val="tx1"/>
            </w14:solidFill>
          </w14:textFill>
        </w:rPr>
        <w:t xml:space="preserve">n</w:t>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
        <m:acc>
          <m:accPr>
            <m:chr m:val="̄"/>
            <m:ctrlPr>
              <w:rPr>
                <w:rFonts w:ascii="Cambria Math" w:hAnsi="Cambria Math"/>
                <w:color w:val="000000"/>
                <w14:textFill>
                  <w14:solidFill>
                    <w14:schemeClr w14:val="tx1"/>
                  </w14:solidFill>
                </w14:textFill>
              </w:rPr>
            </m:ctrlPr>
          </m:acc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acc>
      </m:oMath>
      <w:r>
        <w:rPr>
          <w:color w:val="000000" w:themeColor="text1"/>
          <w14:textFill>
            <w14:solidFill>
              <w14:schemeClr w14:val="tx1"/>
            </w14:solidFill>
          </w14:textFill>
        </w:rPr>
        <w:t xml:space="preserve">,</w:t>
      </w:r>
      <m:oMath>
        <m:acc>
          <m:accPr>
            <m:chr m:val="̄"/>
            <m:ctrlPr>
              <w:rPr>
                <w:rFonts w:ascii="Cambria Math" w:hAnsi="Cambria Math"/>
                <w:color w:val="000000"/>
                <w14:textFill>
                  <w14:solidFill>
                    <w14:schemeClr w14:val="tx1"/>
                  </w14:solidFill>
                </w14:textFill>
              </w:rPr>
            </m:ctrlPr>
          </m:acc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e>
        </m:acc>
      </m:oMath>
      <w:r>
        <w:rPr>
          <w:color w:val="000000" w:themeColor="text1"/>
          <w14:textFill>
            <w14:solidFill>
              <w14:schemeClr w14:val="tx1"/>
            </w14:solidFill>
          </w14:textFill>
        </w:rPr>
        <w:t xml:space="preserve">分别为第</w:t>
      </w:r>
      <w:r>
        <w:rPr>
          <w:i/>
          <w:color w:val="000000" w:themeColor="text1"/>
          <w14:textFill>
            <w14:solidFill>
              <w14:schemeClr w14:val="tx1"/>
            </w14:solidFill>
          </w14:textFill>
        </w:rPr>
        <w:t xml:space="preserve">i</w:t>
      </w:r>
      <w:r>
        <w:rPr>
          <w:color w:val="000000" w:themeColor="text1"/>
          <w14:textFill>
            <w14:solidFill>
              <w14:schemeClr w14:val="tx1"/>
            </w14:solidFill>
          </w14:textFill>
        </w:rPr>
        <w:t xml:space="preserve">个和第</w:t>
      </w:r>
      <w:r>
        <w:rPr>
          <w:i/>
          <w:color w:val="000000" w:themeColor="text1"/>
          <w14:textFill>
            <w14:solidFill>
              <w14:schemeClr w14:val="tx1"/>
            </w14:solidFill>
          </w14:textFill>
        </w:rPr>
        <w:t xml:space="preserve">j</w:t>
      </w:r>
      <w:r>
        <w:rPr>
          <w:color w:val="000000" w:themeColor="text1"/>
          <w14:textFill>
            <w14:solidFill>
              <w14:schemeClr w14:val="tx1"/>
            </w14:solidFill>
          </w14:textFill>
        </w:rPr>
        <w:t xml:space="preserve">个输入量的测得值的算数平均值。</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c) 相关系数的估算方法：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根据对两个量</w:t>
      </w:r>
      <w:r>
        <w:rPr>
          <w:i/>
          <w:color w:val="000000" w:themeColor="text1"/>
          <w14:textFill>
            <w14:solidFill>
              <w14:schemeClr w14:val="tx1"/>
            </w14:solidFill>
          </w14:textFill>
        </w:rPr>
        <w:t xml:space="preserve">X</w:t>
      </w:r>
      <w:r>
        <w:rPr>
          <w:color w:val="000000" w:themeColor="text1"/>
          <w14:textFill>
            <w14:solidFill>
              <w14:schemeClr w14:val="tx1"/>
            </w14:solidFill>
          </w14:textFill>
        </w:rPr>
        <w:t xml:space="preserve">和</w:t>
      </w:r>
      <w:r>
        <w:rPr>
          <w:i/>
          <w:color w:val="000000" w:themeColor="text1"/>
          <w14:textFill>
            <w14:solidFill>
              <w14:schemeClr w14:val="tx1"/>
            </w14:solidFill>
          </w14:textFill>
        </w:rPr>
        <w:t xml:space="preserve">Y</w:t>
      </w:r>
      <w:r>
        <w:rPr>
          <w:color w:val="000000" w:themeColor="text1"/>
          <w14:textFill>
            <w14:solidFill>
              <w14:schemeClr w14:val="tx1"/>
            </w14:solidFill>
          </w14:textFill>
        </w:rPr>
        <w:t xml:space="preserve">同时观测的</w:t>
      </w:r>
      <w:r>
        <w:rPr>
          <w:i/>
          <w:color w:val="000000" w:themeColor="text1"/>
          <w14:textFill>
            <w14:solidFill>
              <w14:schemeClr w14:val="tx1"/>
            </w14:solidFill>
          </w14:textFill>
        </w:rPr>
        <w:t xml:space="preserve">n</w:t>
      </w:r>
      <w:r>
        <w:rPr>
          <w:color w:val="000000" w:themeColor="text1"/>
          <w14:textFill>
            <w14:solidFill>
              <w14:schemeClr w14:val="tx1"/>
            </w14:solidFill>
          </w14:textFill>
        </w:rPr>
        <w:t xml:space="preserve">组测量数据，相关系数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Para>
        <m:oMathParaPr/>
        <m:oMath>
          <m:r>
            <w:rPr>
              <w:rFonts w:ascii="Cambria Math" w:hAnsi="Cambria Math"/>
              <w:color w:val="000000" w:themeColor="text1"/>
              <w14:textFill>
                <w14:solidFill>
                  <w14:schemeClr w14:val="tx1"/>
                </w14:solidFill>
              </w14:textFill>
            </w:rPr>
            <m:rPr/>
            <m:t>r</m:t>
          </m:r>
          <m:d>
            <m:dPr>
              <m:sepChr m:val=","/>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x</m:t>
              </m:r>
            </m:e>
            <m:e>
              <m:r>
                <w:rPr>
                  <w:rFonts w:ascii="Cambria Math" w:hAnsi="Cambria Math"/>
                  <w:color w:val="000000" w:themeColor="text1"/>
                  <w14:textFill>
                    <w14:solidFill>
                      <w14:schemeClr w14:val="tx1"/>
                    </w14:solidFill>
                  </w14:textFill>
                </w:rPr>
                <m:rPr/>
                <m:t>y</m:t>
              </m:r>
            </m:e>
          </m:d>
          <m:r>
            <w:rPr>
              <w:rFonts w:ascii="Cambria Math" w:hAnsi="Cambria Math"/>
              <w:color w:val="000000" w:themeColor="text1"/>
              <w14:textFill>
                <w14:solidFill>
                  <w14:schemeClr w14:val="tx1"/>
                </w14:solidFill>
              </w14:textFill>
            </w:rPr>
            <m:rPr>
              <m:sty m:val="p"/>
            </m:rPr>
            <m:t>=</m:t>
          </m:r>
          <m:f>
            <m:fPr>
              <m:ctrlPr>
                <w:rPr>
                  <w:rFonts w:ascii="Cambria Math" w:hAnsi="Cambria Math"/>
                  <w:color w:val="000000"/>
                  <w14:textFill>
                    <w14:solidFill>
                      <w14:schemeClr w14:val="tx1"/>
                    </w14:solidFill>
                  </w14:textFill>
                </w:rPr>
              </m:ctrlPr>
            </m:fPr>
            <m:num>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r>
                    <w:rPr>
                      <w:rFonts w:ascii="Cambria Math" w:hAnsi="Cambria Math"/>
                      <w:color w:val="000000" w:themeColor="text1"/>
                      <w14:textFill>
                        <w14:solidFill>
                          <w14:schemeClr w14:val="tx1"/>
                        </w14:solidFill>
                      </w14:textFill>
                    </w:rPr>
                    <m:rPr>
                      <m:sty m:val="p"/>
                    </m:rPr>
                    <m:t>−</m:t>
                  </m:r>
                  <m:acc>
                    <m:accPr>
                      <m:chr m:val="̅"/>
                      <m:ctrlPr>
                        <w:rPr>
                          <w:rFonts w:ascii="Cambria Math" w:hAnsi="Cambria Math"/>
                          <w:color w:val="000000"/>
                          <w14:textFill>
                            <w14:solidFill>
                              <w14:schemeClr w14:val="tx1"/>
                            </w14:solidFill>
                          </w14:textFill>
                        </w:rPr>
                      </m:ctrlPr>
                    </m:accPr>
                    <m:e>
                      <m:r>
                        <w:rPr>
                          <w:rFonts w:ascii="Cambria Math" w:hAnsi="Cambria Math"/>
                          <w:color w:val="000000" w:themeColor="text1"/>
                          <w14:textFill>
                            <w14:solidFill>
                              <w14:schemeClr w14:val="tx1"/>
                            </w14:solidFill>
                          </w14:textFill>
                        </w:rPr>
                        <m:rPr/>
                        <m:t>X</m:t>
                      </m:r>
                    </m:e>
                  </m:acc>
                </m:e>
              </m:d>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y</m:t>
                      </m:r>
                    </m:e>
                    <m:sub>
                      <m:r>
                        <w:rPr>
                          <w:rFonts w:ascii="Cambria Math" w:hAnsi="Cambria Math"/>
                          <w:color w:val="000000" w:themeColor="text1"/>
                          <w14:textFill>
                            <w14:solidFill>
                              <w14:schemeClr w14:val="tx1"/>
                            </w14:solidFill>
                          </w14:textFill>
                        </w:rPr>
                        <m:rPr/>
                        <m:t>i</m:t>
                      </m:r>
                    </m:sub>
                  </m:sSub>
                  <m:r>
                    <w:rPr>
                      <w:rFonts w:ascii="Cambria Math" w:hAnsi="Cambria Math"/>
                      <w:color w:val="000000" w:themeColor="text1"/>
                      <w14:textFill>
                        <w14:solidFill>
                          <w14:schemeClr w14:val="tx1"/>
                        </w14:solidFill>
                      </w14:textFill>
                    </w:rPr>
                    <m:rPr>
                      <m:sty m:val="p"/>
                    </m:rPr>
                    <m:t>−</m:t>
                  </m:r>
                  <m:acc>
                    <m:accPr>
                      <m:chr m:val="̅"/>
                      <m:ctrlPr>
                        <w:rPr>
                          <w:rFonts w:ascii="Cambria Math" w:hAnsi="Cambria Math"/>
                          <w:color w:val="000000"/>
                          <w14:textFill>
                            <w14:solidFill>
                              <w14:schemeClr w14:val="tx1"/>
                            </w14:solidFill>
                          </w14:textFill>
                        </w:rPr>
                      </m:ctrlPr>
                    </m:accPr>
                    <m:e>
                      <m:r>
                        <w:rPr>
                          <w:rFonts w:ascii="Cambria Math" w:hAnsi="Cambria Math"/>
                          <w:color w:val="000000" w:themeColor="text1"/>
                          <w14:textFill>
                            <w14:solidFill>
                              <w14:schemeClr w14:val="tx1"/>
                            </w14:solidFill>
                          </w14:textFill>
                        </w:rPr>
                        <m:rPr/>
                        <m:t>Y</m:t>
                      </m:r>
                    </m:e>
                  </m:acc>
                </m:e>
              </m:d>
            </m:num>
            <m:den>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n</m:t>
                  </m:r>
                  <m:r>
                    <w:rPr>
                      <w:rFonts w:ascii="Cambria Math" w:hAnsi="Cambria Math"/>
                      <w:color w:val="000000" w:themeColor="text1"/>
                      <w14:textFill>
                        <w14:solidFill>
                          <w14:schemeClr w14:val="tx1"/>
                        </w14:solidFill>
                      </w14:textFill>
                    </w:rPr>
                    <m:rPr>
                      <m:sty m:val="p"/>
                    </m:rPr>
                    <m:t>−1</m:t>
                  </m:r>
                </m:e>
              </m:d>
              <m:r>
                <w:rPr>
                  <w:rFonts w:ascii="Cambria Math" w:hAnsi="Cambria Math"/>
                  <w:color w:val="000000" w:themeColor="text1"/>
                  <w14:textFill>
                    <w14:solidFill>
                      <w14:schemeClr w14:val="tx1"/>
                    </w14:solidFill>
                  </w14:textFill>
                </w:rPr>
                <m:rPr/>
                <m:t>s</m:t>
              </m:r>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x</m:t>
                  </m:r>
                </m:e>
              </m:d>
              <m:r>
                <w:rPr>
                  <w:rFonts w:ascii="Cambria Math" w:hAnsi="Cambria Math"/>
                  <w:color w:val="000000" w:themeColor="text1"/>
                  <w14:textFill>
                    <w14:solidFill>
                      <w14:schemeClr w14:val="tx1"/>
                    </w14:solidFill>
                  </w14:textFill>
                </w:rPr>
                <m:rPr/>
                <m:t>s</m:t>
              </m:r>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den>
          </m:f>
        </m:oMath>
      </m:oMathPara>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如果两个输入量的测得值</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oMath>
      <w:r>
        <w:rPr>
          <w:rFonts w:ascii="Arial" w:hAnsi="Arial"/>
          <w:color w:val="000000" w:themeColor="text1"/>
          <w14:textFill>
            <w14:solidFill>
              <w14:schemeClr w14:val="tx1"/>
            </w14:solidFill>
          </w14:textFill>
        </w:rPr>
        <w:t xml:space="preserve">和</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oMath>
      <w:r>
        <w:rPr>
          <w:rFonts w:ascii="Arial" w:hAnsi="Arial"/>
          <w:color w:val="000000" w:themeColor="text1"/>
          <w14:textFill>
            <w14:solidFill>
              <w14:schemeClr w14:val="tx1"/>
            </w14:solidFill>
          </w14:textFill>
        </w:rPr>
        <w:t xml:space="preserve">相关，</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oMath>
      <w:r>
        <w:rPr>
          <w:rFonts w:ascii="Arial" w:hAnsi="Arial"/>
          <w:color w:val="000000" w:themeColor="text1"/>
          <w14:textFill>
            <w14:solidFill>
              <w14:schemeClr w14:val="tx1"/>
            </w14:solidFill>
          </w14:textFill>
        </w:rPr>
        <w:t xml:space="preserve">变化，</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δ</m:t>
            </m:r>
          </m:e>
          <m:sub>
            <m:r>
              <w:rPr>
                <w:rFonts w:ascii="Cambria Math" w:hAnsi="Cambria Math"/>
                <w:color w:val="000000" w:themeColor="text1"/>
                <w14:textFill>
                  <w14:solidFill>
                    <w14:schemeClr w14:val="tx1"/>
                  </w14:solidFill>
                </w14:textFill>
              </w:rPr>
              <m:rPr/>
              <m:t>i</m:t>
            </m:r>
          </m:sub>
        </m:sSub>
      </m:oMath>
      <w:r>
        <w:rPr>
          <w:rFonts w:ascii="Arial" w:hAnsi="Arial"/>
          <w:color w:val="000000" w:themeColor="text1"/>
          <w14:textFill>
            <w14:solidFill>
              <w14:schemeClr w14:val="tx1"/>
            </w14:solidFill>
          </w14:textFill>
        </w:rPr>
        <w:t xml:space="preserve">会使</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oMath>
      <w:r>
        <w:rPr>
          <w:rFonts w:ascii="Arial" w:hAnsi="Arial"/>
          <w:color w:val="000000" w:themeColor="text1"/>
          <w14:textFill>
            <w14:solidFill>
              <w14:schemeClr w14:val="tx1"/>
            </w14:solidFill>
          </w14:textFill>
        </w:rPr>
        <w:t xml:space="preserve">相应变化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δ</m:t>
            </m:r>
          </m:e>
          <m:sub>
            <m:r>
              <w:rPr>
                <w:rFonts w:ascii="Cambria Math" w:hAnsi="Cambria Math"/>
                <w:color w:val="000000" w:themeColor="text1"/>
                <w14:textFill>
                  <w14:solidFill>
                    <w14:schemeClr w14:val="tx1"/>
                  </w14:solidFill>
                </w14:textFill>
              </w:rPr>
              <m:rPr/>
              <m:t>j</m:t>
            </m:r>
          </m:sub>
        </m:sSub>
      </m:oMath>
      <w:r>
        <w:rPr>
          <w:rFonts w:ascii="Arial" w:hAnsi="Arial"/>
          <w:color w:val="000000" w:themeColor="text1"/>
          <w14:textFill>
            <w14:solidFill>
              <w14:schemeClr w14:val="tx1"/>
            </w14:solidFill>
          </w14:textFill>
        </w:rPr>
        <w:t xml:space="preserve">，则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oMath>
      <w:r>
        <w:rPr>
          <w:rFonts w:ascii="Arial" w:hAnsi="Arial"/>
          <w:color w:val="000000" w:themeColor="text1"/>
          <w14:textFill>
            <w14:solidFill>
              <w14:schemeClr w14:val="tx1"/>
            </w14:solidFill>
          </w14:textFill>
        </w:rPr>
        <w:t xml:space="preserve">和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oMath>
      <w:r>
        <w:rPr>
          <w:rFonts w:ascii="Arial" w:hAnsi="Arial"/>
          <w:color w:val="000000" w:themeColor="text1"/>
          <w14:textFill>
            <w14:solidFill>
              <w14:schemeClr w14:val="tx1"/>
            </w14:solidFill>
          </w14:textFill>
        </w:rPr>
        <w:t xml:space="preserve">的相关系数：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m:oMathPara>
        <m:oMathParaPr/>
        <m:oMath>
          <m:r>
            <w:rPr>
              <w:rFonts w:ascii="Cambria Math" w:hAnsi="Cambria Math"/>
              <w:color w:val="000000" w:themeColor="text1"/>
              <w14:textFill>
                <w14:solidFill>
                  <w14:schemeClr w14:val="tx1"/>
                </w14:solidFill>
              </w14:textFill>
            </w:rPr>
            <m:rPr/>
            <m:t>r</m:t>
          </m:r>
          <m:d>
            <m:dPr>
              <m:sepChr m:val=","/>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e>
          </m:d>
          <m:r>
            <w:rPr>
              <w:rFonts w:ascii="Cambria Math" w:hAnsi="Cambria Math"/>
              <w:color w:val="000000" w:themeColor="text1"/>
              <w14:textFill>
                <w14:solidFill>
                  <w14:schemeClr w14:val="tx1"/>
                </w14:solidFill>
              </w14:textFill>
            </w:rPr>
            <m:rPr>
              <m:sty m:val="p"/>
            </m:rPr>
            <m:t>≈</m:t>
          </m:r>
          <m:f>
            <m:fPr>
              <m:ctrlPr>
                <w:rPr>
                  <w:rFonts w:ascii="Cambria Math" w:hAnsi="Cambria Math"/>
                  <w:color w:val="000000"/>
                  <w14:textFill>
                    <w14:solidFill>
                      <w14:schemeClr w14:val="tx1"/>
                    </w14:solidFill>
                  </w14:textFill>
                </w:rPr>
              </m:ctrlPr>
            </m:fPr>
            <m:num>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d>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δ</m:t>
                  </m:r>
                </m:e>
                <m:sub>
                  <m:r>
                    <w:rPr>
                      <w:rFonts w:ascii="Cambria Math" w:hAnsi="Cambria Math"/>
                      <w:color w:val="000000" w:themeColor="text1"/>
                      <w14:textFill>
                        <w14:solidFill>
                          <w14:schemeClr w14:val="tx1"/>
                        </w14:solidFill>
                      </w14:textFill>
                    </w:rPr>
                    <m:rPr/>
                    <m:t>j</m:t>
                  </m:r>
                </m:sub>
              </m:sSub>
            </m:num>
            <m:den>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j</m:t>
                      </m:r>
                    </m:sub>
                  </m:sSub>
                </m:e>
              </m:d>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δ</m:t>
                  </m:r>
                </m:e>
                <m:sub>
                  <m:r>
                    <w:rPr>
                      <w:rFonts w:ascii="Cambria Math" w:hAnsi="Cambria Math"/>
                      <w:color w:val="000000" w:themeColor="text1"/>
                      <w14:textFill>
                        <w14:solidFill>
                          <w14:schemeClr w14:val="tx1"/>
                        </w14:solidFill>
                      </w14:textFill>
                    </w:rPr>
                    <m:rPr/>
                    <m:t>i</m:t>
                  </m:r>
                </m:sub>
              </m:sSub>
            </m:den>
          </m:f>
        </m:oMath>
      </m:oMathPara>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d) 采用适当方法去除相关性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将引入相关的量作为独立的附加输入量引入测量模型。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采取有效措施变换输入量。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4.5.2.2 合成标准不确定度的有效自由度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合成标准不确定度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oMath>
      <w:r>
        <w:rPr>
          <w:color w:val="000000" w:themeColor="text1"/>
          <w14:textFill>
            <w14:solidFill>
              <w14:schemeClr w14:val="tx1"/>
            </w14:solidFill>
          </w14:textFill>
        </w:rPr>
        <w:t xml:space="preserve">的自由度称为有效自由度（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v</m:t>
            </m:r>
          </m:e>
          <m:sub>
            <m:r>
              <w:rPr>
                <w:rFonts w:ascii="Cambria Math" w:hAnsi="Cambria Math"/>
                <w:color w:val="000000" w:themeColor="text1"/>
                <w14:textFill>
                  <w14:solidFill>
                    <w14:schemeClr w14:val="tx1"/>
                  </w14:solidFill>
                </w14:textFill>
              </w:rPr>
              <m:rPr/>
              <m:t>eff</m:t>
            </m:r>
          </m:sub>
        </m:sSub>
      </m:oMath>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当各分量间相互独立且输出量接近正态分布或</w:t>
      </w:r>
      <w:r>
        <w:rPr>
          <w:i/>
          <w:color w:val="000000" w:themeColor="text1"/>
          <w14:textFill>
            <w14:solidFill>
              <w14:schemeClr w14:val="tx1"/>
            </w14:solidFill>
          </w14:textFill>
        </w:rPr>
        <w:t xml:space="preserve">t</w:t>
      </w:r>
      <w:r>
        <w:rPr>
          <w:color w:val="000000" w:themeColor="text1"/>
          <w14:textFill>
            <w14:solidFill>
              <w14:schemeClr w14:val="tx1"/>
            </w14:solidFill>
          </w14:textFill>
        </w:rPr>
        <w:t xml:space="preserve">分布时，合成标准不确定度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oMath>
      <w:r>
        <w:rPr>
          <w:color w:val="000000" w:themeColor="text1"/>
          <w14:textFill>
            <w14:solidFill>
              <w14:schemeClr w14:val="tx1"/>
            </w14:solidFill>
          </w14:textFill>
        </w:rPr>
        <w:t xml:space="preserve">的有效自由度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ascii="Arial" w:hAnsi="Arial"/>
          <w:color w:val="000000" w:themeColor="text1"/>
          <w14:textFill>
            <w14:solidFill>
              <w14:schemeClr w14:val="tx1"/>
            </w14:solidFill>
          </w14:textFill>
        </w:rPr>
        <w:t xml:space="preserve">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v</m:t>
            </m:r>
          </m:e>
          <m:sub>
            <m:r>
              <w:rPr>
                <w:rFonts w:ascii="Cambria Math" w:hAnsi="Cambria Math"/>
                <w:color w:val="000000" w:themeColor="text1"/>
                <w14:textFill>
                  <w14:solidFill>
                    <w14:schemeClr w14:val="tx1"/>
                  </w14:solidFill>
                </w14:textFill>
              </w:rPr>
              <m:rPr/>
              <m:t>eff</m:t>
            </m:r>
          </m:sub>
        </m:sSub>
        <m:r>
          <w:rPr>
            <w:rFonts w:ascii="Cambria Math" w:hAnsi="Cambria Math"/>
            <w:color w:val="000000" w:themeColor="text1"/>
            <w14:textFill>
              <w14:solidFill>
                <w14:schemeClr w14:val="tx1"/>
              </w14:solidFill>
            </w14:textFill>
          </w:rPr>
          <m:rPr>
            <m:sty m:val="p"/>
          </m:rPr>
          <m:t>=</m:t>
        </m:r>
        <m:f>
          <m:fPr>
            <m:ctrlPr>
              <w:rPr>
                <w:rFonts w:ascii="Cambria Math" w:hAnsi="Cambria Math"/>
                <w:color w:val="000000"/>
                <w14:textFill>
                  <w14:solidFill>
                    <w14:schemeClr w14:val="tx1"/>
                  </w14:solidFill>
                </w14:textFill>
              </w:rPr>
            </m:ctrlPr>
          </m:fPr>
          <m:num>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sSup>
              <m:sSupPr>
                <m:ctrlPr>
                  <w:rPr>
                    <w:rFonts w:ascii="Cambria Math" w:hAnsi="Cambria Math"/>
                    <w:color w:val="000000"/>
                    <w14:textFill>
                      <w14:solidFill>
                        <w14:schemeClr w14:val="tx1"/>
                      </w14:solidFill>
                    </w14:textFill>
                  </w:rPr>
                </m:ctrlPr>
              </m:sSupPr>
              <m:e>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e>
              <m:sup>
                <m:r>
                  <w:rPr>
                    <w:rFonts w:ascii="Cambria Math" w:hAnsi="Cambria Math"/>
                    <w:color w:val="000000" w:themeColor="text1"/>
                    <w14:textFill>
                      <w14:solidFill>
                        <w14:schemeClr w14:val="tx1"/>
                      </w14:solidFill>
                    </w14:textFill>
                  </w:rPr>
                  <m:rPr>
                    <m:sty m:val="p"/>
                  </m:rPr>
                  <m:t>4</m:t>
                </m:r>
              </m:sup>
            </m:sSup>
          </m:num>
          <m:den>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f>
              <m:fPr>
                <m:ctrlPr>
                  <w:rPr>
                    <w:rFonts w:ascii="Cambria Math" w:hAnsi="Cambria Math"/>
                    <w:color w:val="000000"/>
                    <w14:textFill>
                      <w14:solidFill>
                        <w14:schemeClr w14:val="tx1"/>
                      </w14:solidFill>
                    </w14:textFill>
                  </w:rPr>
                </m:ctrlPr>
              </m:fPr>
              <m:num>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sSup>
                  <m:sSupPr>
                    <m:ctrlPr>
                      <w:rPr>
                        <w:rFonts w:ascii="Cambria Math" w:hAnsi="Cambria Math"/>
                        <w:color w:val="000000"/>
                        <w14:textFill>
                          <w14:solidFill>
                            <w14:schemeClr w14:val="tx1"/>
                          </w14:solidFill>
                        </w14:textFill>
                      </w:rPr>
                    </m:ctrlPr>
                  </m:sSupPr>
                  <m:e>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e>
                  <m:sup>
                    <m:r>
                      <w:rPr>
                        <w:rFonts w:ascii="Cambria Math" w:hAnsi="Cambria Math"/>
                        <w:color w:val="000000" w:themeColor="text1"/>
                        <w14:textFill>
                          <w14:solidFill>
                            <w14:schemeClr w14:val="tx1"/>
                          </w14:solidFill>
                        </w14:textFill>
                      </w:rPr>
                      <m:rPr>
                        <m:sty m:val="p"/>
                      </m:rPr>
                      <m:t>4</m:t>
                    </m:r>
                  </m:sup>
                </m:sSup>
              </m:num>
              <m:den>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v</m:t>
                    </m:r>
                  </m:e>
                  <m:sub>
                    <m:r>
                      <w:rPr>
                        <w:rFonts w:ascii="Cambria Math" w:hAnsi="Cambria Math"/>
                        <w:color w:val="000000" w:themeColor="text1"/>
                        <w14:textFill>
                          <w14:solidFill>
                            <w14:schemeClr w14:val="tx1"/>
                          </w14:solidFill>
                        </w14:textFill>
                      </w:rPr>
                      <m:rPr/>
                      <m:t>i</m:t>
                    </m:r>
                  </m:sub>
                </m:sSub>
              </m:den>
            </m:f>
          </m:den>
        </m:f>
      </m:oMath>
      <w:r>
        <w:rPr>
          <w:rFonts w:ascii="Arial" w:hAnsi="Arial"/>
          <w:color w:val="000000" w:themeColor="text1"/>
          <w14:textFill>
            <w14:solidFill>
              <w14:schemeClr w14:val="tx1"/>
            </w14:solidFill>
          </w14:textFill>
        </w:rPr>
        <w:t xml:space="preserve">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v</m:t>
            </m:r>
          </m:e>
          <m:sub>
            <m:r>
              <w:rPr>
                <w:rFonts w:ascii="Cambria Math" w:hAnsi="Cambria Math"/>
                <w:color w:val="000000" w:themeColor="text1"/>
                <w14:textFill>
                  <w14:solidFill>
                    <w14:schemeClr w14:val="tx1"/>
                  </w14:solidFill>
                </w14:textFill>
              </w:rPr>
              <m:rPr/>
              <m:t>eff</m:t>
            </m:r>
          </m:sub>
        </m:sSub>
        <m:r>
          <w:rPr>
            <w:rFonts w:ascii="Cambria Math" w:hAnsi="Cambria Math"/>
            <w:color w:val="000000" w:themeColor="text1"/>
            <w14:textFill>
              <w14:solidFill>
                <w14:schemeClr w14:val="tx1"/>
              </w14:solidFill>
            </w14:textFill>
          </w:rPr>
          <m:rPr>
            <m:sty m:val="p"/>
          </m:rPr>
          <m:t>≤</m:t>
        </m:r>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v</m:t>
            </m:r>
          </m:e>
          <m:sub>
            <m:r>
              <w:rPr>
                <w:rFonts w:ascii="Cambria Math" w:hAnsi="Cambria Math"/>
                <w:color w:val="000000" w:themeColor="text1"/>
                <w14:textFill>
                  <w14:solidFill>
                    <w14:schemeClr w14:val="tx1"/>
                  </w14:solidFill>
                </w14:textFill>
              </w:rPr>
              <m:rPr/>
              <m:t>i</m:t>
            </m:r>
          </m:sub>
        </m:sSub>
      </m:oMath>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ascii="Arial" w:hAnsi="Arial"/>
          <w:color w:val="000000" w:themeColor="text1"/>
          <w14:textFill>
            <w14:solidFill>
              <w14:schemeClr w14:val="tx1"/>
            </w14:solidFill>
          </w14:textFill>
        </w:rPr>
        <w:t xml:space="preserve">当测量模型为 </w:t>
      </w:r>
      <m:oMath>
        <m:r>
          <w:rPr>
            <w:rFonts w:ascii="Cambria Math" w:hAnsi="Cambria Math"/>
            <w:color w:val="000000" w:themeColor="text1"/>
            <w14:textFill>
              <w14:solidFill>
                <w14:schemeClr w14:val="tx1"/>
              </w14:solidFill>
            </w14:textFill>
          </w:rPr>
          <m:rPr/>
          <m:t>Y=A</m:t>
        </m:r>
        <m:sSup>
          <m:sSupPr>
            <m:ctrlPr>
              <w:rPr>
                <w:rFonts w:ascii="Cambria Math" w:hAnsi="Cambria Math"/>
                <w:color w:val="000000"/>
                <w14:textFill>
                  <w14:solidFill>
                    <w14:schemeClr w14:val="tx1"/>
                  </w14:solidFill>
                </w14:textFill>
              </w:rPr>
            </m:ctrlPr>
          </m:sSup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1</m:t>
                </m:r>
              </m:sub>
            </m:sSub>
          </m:e>
          <m:sup>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P</m:t>
                </m:r>
              </m:e>
              <m:sub>
                <m:r>
                  <w:rPr>
                    <w:rFonts w:ascii="Cambria Math" w:hAnsi="Cambria Math"/>
                    <w:color w:val="000000" w:themeColor="text1"/>
                    <w14:textFill>
                      <w14:solidFill>
                        <w14:schemeClr w14:val="tx1"/>
                      </w14:solidFill>
                    </w14:textFill>
                  </w:rPr>
                  <m:rPr/>
                  <m:t>1</m:t>
                </m:r>
              </m:sub>
            </m:sSub>
          </m:sup>
        </m:sSup>
        <m:sSup>
          <m:sSupPr>
            <m:ctrlPr>
              <w:rPr>
                <w:rFonts w:ascii="Cambria Math" w:hAnsi="Cambria Math"/>
                <w:color w:val="000000"/>
                <w14:textFill>
                  <w14:solidFill>
                    <w14:schemeClr w14:val="tx1"/>
                  </w14:solidFill>
                </w14:textFill>
              </w:rPr>
            </m:ctrlPr>
          </m:sSup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2</m:t>
                </m:r>
              </m:sub>
            </m:sSub>
          </m:e>
          <m:sup>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P</m:t>
                </m:r>
              </m:e>
              <m:sub>
                <m:r>
                  <w:rPr>
                    <w:rFonts w:ascii="Cambria Math" w:hAnsi="Cambria Math"/>
                    <w:color w:val="000000" w:themeColor="text1"/>
                    <w14:textFill>
                      <w14:solidFill>
                        <w14:schemeClr w14:val="tx1"/>
                      </w14:solidFill>
                    </w14:textFill>
                  </w:rPr>
                  <m:rPr/>
                  <m:t>2</m:t>
                </m:r>
              </m:sub>
            </m:sSub>
          </m:sup>
        </m:sSup>
        <m:r>
          <w:rPr>
            <w:rFonts w:ascii="Cambria Math" w:hAnsi="Cambria Math"/>
            <w:color w:val="000000" w:themeColor="text1"/>
            <w14:textFill>
              <w14:solidFill>
                <w14:schemeClr w14:val="tx1"/>
              </w14:solidFill>
            </w14:textFill>
          </w:rPr>
          <m:rPr/>
          <m:t>......</m:t>
        </m:r>
        <m:sSup>
          <m:sSupPr>
            <m:ctrlPr>
              <w:rPr>
                <w:rFonts w:ascii="Cambria Math" w:hAnsi="Cambria Math"/>
                <w:color w:val="000000"/>
                <w14:textFill>
                  <w14:solidFill>
                    <w14:schemeClr w14:val="tx1"/>
                  </w14:solidFill>
                </w14:textFill>
              </w:rPr>
            </m:ctrlPr>
          </m:sSup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N</m:t>
                </m:r>
              </m:sub>
            </m:sSub>
          </m:e>
          <m:sup>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P</m:t>
                </m:r>
              </m:e>
              <m:sub>
                <m:r>
                  <w:rPr>
                    <w:rFonts w:ascii="Cambria Math" w:hAnsi="Cambria Math"/>
                    <w:color w:val="000000" w:themeColor="text1"/>
                    <w14:textFill>
                      <w14:solidFill>
                        <w14:schemeClr w14:val="tx1"/>
                      </w14:solidFill>
                    </w14:textFill>
                  </w:rPr>
                  <m:rPr/>
                  <m:t>N</m:t>
                </m:r>
              </m:sub>
            </m:sSub>
          </m:sup>
        </m:sSup>
      </m:oMath>
      <w:r>
        <w:rPr>
          <w:rFonts w:ascii="Arial" w:hAnsi="Arial"/>
          <w:color w:val="000000" w:themeColor="text1"/>
          <w14:textFill>
            <w14:solidFill>
              <w14:schemeClr w14:val="tx1"/>
            </w14:solidFill>
          </w14:textFill>
        </w:rPr>
        <w:t xml:space="preserve">时，有效自由度可用相对标准不确定度的形式计算：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ascii="Arial" w:hAnsi="Arial"/>
          <w:color w:val="000000" w:themeColor="text1"/>
          <w14:textFill>
            <w14:solidFill>
              <w14:schemeClr w14:val="tx1"/>
            </w14:solidFill>
          </w14:textFill>
        </w:rPr>
        <w:t xml:space="preserve">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v</m:t>
            </m:r>
          </m:e>
          <m:sub>
            <m:r>
              <w:rPr>
                <w:rFonts w:ascii="Cambria Math" w:hAnsi="Cambria Math"/>
                <w:color w:val="000000" w:themeColor="text1"/>
                <w14:textFill>
                  <w14:solidFill>
                    <w14:schemeClr w14:val="tx1"/>
                  </w14:solidFill>
                </w14:textFill>
              </w:rPr>
              <m:rPr/>
              <m:t>eff</m:t>
            </m:r>
          </m:sub>
        </m:sSub>
        <m:r>
          <w:rPr>
            <w:rFonts w:ascii="Cambria Math" w:hAnsi="Cambria Math"/>
            <w:color w:val="000000" w:themeColor="text1"/>
            <w14:textFill>
              <w14:solidFill>
                <w14:schemeClr w14:val="tx1"/>
              </w14:solidFill>
            </w14:textFill>
          </w:rPr>
          <m:rPr>
            <m:sty m:val="p"/>
          </m:rPr>
          <m:t>=</m:t>
        </m:r>
        <m:f>
          <m:fPr>
            <m:ctrlPr>
              <w:rPr>
                <w:rFonts w:ascii="Cambria Math" w:hAnsi="Cambria Math"/>
                <w:color w:val="000000"/>
                <w14:textFill>
                  <w14:solidFill>
                    <w14:schemeClr w14:val="tx1"/>
                  </w14:solidFill>
                </w14:textFill>
              </w:rPr>
            </m:ctrlPr>
          </m:fPr>
          <m:num>
            <m:sSup>
              <m:sSupPr>
                <m:ctrlPr>
                  <w:rPr>
                    <w:rFonts w:ascii="Cambria Math" w:hAnsi="Cambria Math"/>
                    <w:color w:val="000000"/>
                    <w14:textFill>
                      <w14:solidFill>
                        <w14:schemeClr w14:val="tx1"/>
                      </w14:solidFill>
                    </w14:textFill>
                  </w:rPr>
                </m:ctrlPr>
              </m:sSupPr>
              <m:e>
                <m:d>
                  <m:dPr>
                    <m:begChr m:val="["/>
                    <m:endChr m:val="]"/>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r>
                      <w:rPr>
                        <w:rFonts w:ascii="Cambria Math" w:hAnsi="Cambria Math"/>
                        <w:color w:val="000000" w:themeColor="text1"/>
                        <w14:textFill>
                          <w14:solidFill>
                            <w14:schemeClr w14:val="tx1"/>
                          </w14:solidFill>
                        </w14:textFill>
                      </w:rPr>
                      <m:rPr>
                        <m:sty m:val="p"/>
                      </m:rPr>
                      <m:t>/</m:t>
                    </m:r>
                    <m:r>
                      <w:rPr>
                        <w:rFonts w:ascii="Cambria Math" w:hAnsi="Cambria Math"/>
                        <w:color w:val="000000" w:themeColor="text1"/>
                        <w14:textFill>
                          <w14:solidFill>
                            <w14:schemeClr w14:val="tx1"/>
                          </w14:solidFill>
                        </w14:textFill>
                      </w:rPr>
                      <m:rPr/>
                      <m:t>y</m:t>
                    </m:r>
                  </m:e>
                </m:d>
              </m:e>
              <m:sup>
                <m:r>
                  <w:rPr>
                    <w:rFonts w:ascii="Cambria Math" w:hAnsi="Cambria Math"/>
                    <w:color w:val="000000" w:themeColor="text1"/>
                    <w14:textFill>
                      <w14:solidFill>
                        <w14:schemeClr w14:val="tx1"/>
                      </w14:solidFill>
                    </w14:textFill>
                  </w:rPr>
                  <m:rPr>
                    <m:sty m:val="p"/>
                  </m:rPr>
                  <m:t>4</m:t>
                </m:r>
              </m:sup>
            </m:sSup>
          </m:num>
          <m:den>
            <m:nary>
              <m:naryPr>
                <m:chr m:val="∑"/>
                <m:limLoc m:val="subSup"/>
                <m:ctrlPr>
                  <w:rPr>
                    <w:rFonts w:ascii="Cambria Math" w:hAnsi="Cambria Math"/>
                    <w:color w:val="000000"/>
                    <w14:textFill>
                      <w14:solidFill>
                        <w14:schemeClr w14:val="tx1"/>
                      </w14:solidFill>
                    </w14:textFill>
                  </w:rPr>
                </m:ctrlPr>
              </m:naryPr>
              <m:sub>
                <m:r>
                  <w:rPr>
                    <w:rFonts w:ascii="Cambria Math" w:hAnsi="Cambria Math"/>
                    <w:color w:val="000000" w:themeColor="text1"/>
                    <w14:textFill>
                      <w14:solidFill>
                        <w14:schemeClr w14:val="tx1"/>
                      </w14:solidFill>
                    </w14:textFill>
                  </w:rPr>
                  <m:rPr/>
                  <m:t>i</m:t>
                </m:r>
                <m:r>
                  <w:rPr>
                    <w:rFonts w:ascii="Cambria Math" w:hAnsi="Cambria Math"/>
                    <w:color w:val="000000" w:themeColor="text1"/>
                    <w14:textFill>
                      <w14:solidFill>
                        <w14:schemeClr w14:val="tx1"/>
                      </w14:solidFill>
                    </w14:textFill>
                  </w:rPr>
                  <m:rPr>
                    <m:sty m:val="p"/>
                  </m:rPr>
                  <m:t>=1</m:t>
                </m:r>
              </m:sub>
              <m:sup>
                <m:r>
                  <w:rPr>
                    <w:rFonts w:ascii="Cambria Math" w:hAnsi="Cambria Math"/>
                    <w:color w:val="000000" w:themeColor="text1"/>
                    <w14:textFill>
                      <w14:solidFill>
                        <w14:schemeClr w14:val="tx1"/>
                      </w14:solidFill>
                    </w14:textFill>
                  </w:rPr>
                  <m:rPr/>
                  <m:t>N</m:t>
                </m:r>
              </m:sup>
              <m:e>
                <m:r>
                  <w:rPr>
                    <w:rFonts w:ascii="Cambria Math" w:hAnsi="Cambria Math" w:eastAsia="Cambria Math" w:cs="Cambria Math"/>
                  </w:rPr>
                  <m:rPr/>
                  <m:t/>
                </m:r>
              </m:e>
            </m:nary>
            <m:f>
              <m:fPr>
                <m:ctrlPr>
                  <w:rPr>
                    <w:rFonts w:ascii="Cambria Math" w:hAnsi="Cambria Math"/>
                    <w:color w:val="000000"/>
                    <w14:textFill>
                      <w14:solidFill>
                        <w14:schemeClr w14:val="tx1"/>
                      </w14:solidFill>
                    </w14:textFill>
                  </w:rPr>
                </m:ctrlPr>
              </m:fPr>
              <m:num>
                <m:sSup>
                  <m:sSupPr>
                    <m:ctrlPr>
                      <w:rPr>
                        <w:rFonts w:ascii="Cambria Math" w:hAnsi="Cambria Math"/>
                        <w:color w:val="000000"/>
                        <w14:textFill>
                          <w14:solidFill>
                            <w14:schemeClr w14:val="tx1"/>
                          </w14:solidFill>
                        </w14:textFill>
                      </w:rPr>
                    </m:ctrlPr>
                  </m:sSupPr>
                  <m:e>
                    <m:d>
                      <m:dPr>
                        <m:begChr m:val="["/>
                        <m:endChr m:val="]"/>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P</m:t>
                            </m:r>
                          </m:e>
                          <m:sub>
                            <m:r>
                              <w:rPr>
                                <w:rFonts w:ascii="Cambria Math" w:hAnsi="Cambria Math"/>
                                <w:color w:val="000000" w:themeColor="text1"/>
                                <w14:textFill>
                                  <w14:solidFill>
                                    <w14:schemeClr w14:val="tx1"/>
                                  </w14:solidFill>
                                </w14:textFill>
                              </w:rPr>
                              <m:rPr/>
                              <m:t>i</m:t>
                            </m:r>
                          </m:sub>
                        </m:sSub>
                        <m:r>
                          <w:rPr>
                            <w:rFonts w:ascii="Cambria Math" w:hAnsi="Cambria Math"/>
                            <w:color w:val="000000" w:themeColor="text1"/>
                            <w14:textFill>
                              <w14:solidFill>
                                <w14:schemeClr w14:val="tx1"/>
                              </w14:solidFill>
                            </w14:textFill>
                          </w:rPr>
                          <m:rPr/>
                          <m:t>u</m:t>
                        </m:r>
                        <m:d>
                          <m:dPr>
                            <m:ctrlPr>
                              <w:rPr>
                                <w:rFonts w:ascii="Cambria Math" w:hAnsi="Cambria Math"/>
                                <w:color w:val="000000"/>
                                <w14:textFill>
                                  <w14:solidFill>
                                    <w14:schemeClr w14:val="tx1"/>
                                  </w14:solidFill>
                                </w14:textFill>
                              </w:rPr>
                            </m:ctrlPr>
                          </m:dPr>
                          <m:e>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d>
                        <m:r>
                          <w:rPr>
                            <w:rFonts w:ascii="Cambria Math" w:hAnsi="Cambria Math"/>
                            <w:color w:val="000000" w:themeColor="text1"/>
                            <w14:textFill>
                              <w14:solidFill>
                                <w14:schemeClr w14:val="tx1"/>
                              </w14:solidFill>
                            </w14:textFill>
                          </w:rPr>
                          <m:rPr>
                            <m:sty m:val="p"/>
                          </m:rPr>
                          <m:t>/</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x</m:t>
                            </m:r>
                          </m:e>
                          <m:sub>
                            <m:r>
                              <w:rPr>
                                <w:rFonts w:ascii="Cambria Math" w:hAnsi="Cambria Math"/>
                                <w:color w:val="000000" w:themeColor="text1"/>
                                <w14:textFill>
                                  <w14:solidFill>
                                    <w14:schemeClr w14:val="tx1"/>
                                  </w14:solidFill>
                                </w14:textFill>
                              </w:rPr>
                              <m:rPr/>
                              <m:t>i</m:t>
                            </m:r>
                          </m:sub>
                        </m:sSub>
                      </m:e>
                    </m:d>
                  </m:e>
                  <m:sup>
                    <m:r>
                      <w:rPr>
                        <w:rFonts w:ascii="Cambria Math" w:hAnsi="Cambria Math"/>
                        <w:color w:val="000000" w:themeColor="text1"/>
                        <w14:textFill>
                          <w14:solidFill>
                            <w14:schemeClr w14:val="tx1"/>
                          </w14:solidFill>
                        </w14:textFill>
                      </w:rPr>
                      <m:rPr>
                        <m:sty m:val="p"/>
                      </m:rPr>
                      <m:t>4</m:t>
                    </m:r>
                  </m:sup>
                </m:sSup>
              </m:num>
              <m:den>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v</m:t>
                    </m:r>
                  </m:e>
                  <m:sub>
                    <m:r>
                      <w:rPr>
                        <w:rFonts w:ascii="Cambria Math" w:hAnsi="Cambria Math"/>
                        <w:color w:val="000000" w:themeColor="text1"/>
                        <w14:textFill>
                          <w14:solidFill>
                            <w14:schemeClr w14:val="tx1"/>
                          </w14:solidFill>
                        </w14:textFill>
                      </w:rPr>
                      <m:rPr/>
                      <m:t>i</m:t>
                    </m:r>
                  </m:sub>
                </m:sSub>
              </m:den>
            </m:f>
          </m:den>
        </m:f>
      </m:oMath>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如果计算的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v</m:t>
            </m:r>
          </m:e>
          <m:sub>
            <m:r>
              <w:rPr>
                <w:rFonts w:ascii="Cambria Math" w:hAnsi="Cambria Math"/>
                <w:color w:val="000000" w:themeColor="text1"/>
                <w14:textFill>
                  <w14:solidFill>
                    <w14:schemeClr w14:val="tx1"/>
                  </w14:solidFill>
                </w14:textFill>
              </w:rPr>
              <m:rPr/>
              <m:t>eff</m:t>
            </m:r>
          </m:sub>
        </m:sSub>
      </m:oMath>
      <w:r>
        <w:rPr>
          <w:color w:val="000000" w:themeColor="text1"/>
          <w14:textFill>
            <w14:solidFill>
              <w14:schemeClr w14:val="tx1"/>
            </w14:solidFill>
          </w14:textFill>
        </w:rPr>
        <w:t xml:space="preserve">不是整数，舍去小数部分取整数。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扩展不确定度的确定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扩展不确定度</w:t>
      </w:r>
      <w:r>
        <w:rPr>
          <w:i/>
          <w:color w:val="000000" w:themeColor="text1"/>
          <w14:textFill>
            <w14:solidFill>
              <w14:schemeClr w14:val="tx1"/>
            </w14:solidFill>
          </w14:textFill>
        </w:rPr>
        <w:t xml:space="preserve">U</w:t>
      </w:r>
      <w:r>
        <w:rPr>
          <w:color w:val="000000" w:themeColor="text1"/>
          <w14:textFill>
            <w14:solidFill>
              <w14:schemeClr w14:val="tx1"/>
            </w14:solidFill>
          </w14:textFill>
        </w:rPr>
        <w:t xml:space="preserve">是由合成标准不确定度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oMath>
      <w:r>
        <w:rPr>
          <w:color w:val="000000" w:themeColor="text1"/>
          <w14:textFill>
            <w14:solidFill>
              <w14:schemeClr w14:val="tx1"/>
            </w14:solidFill>
          </w14:textFill>
        </w:rPr>
        <w:t xml:space="preserve">乘以包含因子k得到的：U= </w:t>
      </w:r>
      <m:oMath>
        <m:r>
          <w:rPr>
            <w:rFonts w:ascii="Cambria Math" w:hAnsi="Cambria Math"/>
            <w:color w:val="000000" w:themeColor="text1"/>
            <w14:textFill>
              <w14:solidFill>
                <w14:schemeClr w14:val="tx1"/>
              </w14:solidFill>
            </w14:textFill>
          </w:rPr>
          <m:rPr/>
          <m:t>k</m:t>
        </m:r>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d>
          <m:dPr>
            <m:ctrlPr>
              <w:rPr>
                <w:rFonts w:ascii="Cambria Math" w:hAnsi="Cambria Math"/>
                <w:color w:val="000000"/>
                <w14:textFill>
                  <w14:solidFill>
                    <w14:schemeClr w14:val="tx1"/>
                  </w14:solidFill>
                </w14:textFill>
              </w:rPr>
            </m:ctrlPr>
          </m:dPr>
          <m:e>
            <m:r>
              <w:rPr>
                <w:rFonts w:ascii="Cambria Math" w:hAnsi="Cambria Math"/>
                <w:color w:val="000000" w:themeColor="text1"/>
                <w14:textFill>
                  <w14:solidFill>
                    <w14:schemeClr w14:val="tx1"/>
                  </w14:solidFill>
                </w14:textFill>
              </w:rPr>
              <m:rPr/>
              <m:t>y</m:t>
            </m:r>
          </m:e>
        </m:d>
      </m:oMath>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包含因子的选择：被测量中输出量的分布基本上是正态或近似正态分布，置信水准 </w:t>
      </w:r>
      <w:r>
        <w:rPr>
          <w:i/>
          <w:color w:val="000000" w:themeColor="text1"/>
          <w14:textFill>
            <w14:solidFill>
              <w14:schemeClr w14:val="tx1"/>
            </w14:solidFill>
          </w14:textFill>
        </w:rPr>
        <w:t xml:space="preserve">p</w:t>
      </w:r>
      <w:r>
        <w:rPr>
          <w:color w:val="000000" w:themeColor="text1"/>
          <w14:textFill>
            <w14:solidFill>
              <w14:schemeClr w14:val="tx1"/>
            </w14:solidFill>
          </w14:textFill>
        </w:rPr>
        <w:t xml:space="preserve">通常取95％或99％。可近似认为</w:t>
      </w:r>
      <w:r>
        <w:rPr>
          <w:i/>
          <w:color w:val="000000" w:themeColor="text1"/>
          <w14:textFill>
            <w14:solidFill>
              <w14:schemeClr w14:val="tx1"/>
            </w14:solidFill>
          </w14:textFill>
        </w:rPr>
        <w:t xml:space="preserve">k</w:t>
      </w:r>
      <w:r>
        <w:rPr>
          <w:color w:val="000000" w:themeColor="text1"/>
          <w14:textFill>
            <w14:solidFill>
              <w14:schemeClr w14:val="tx1"/>
            </w14:solidFill>
          </w14:textFill>
        </w:rPr>
        <w:t xml:space="preserve">(95)＝2、</w:t>
      </w:r>
      <w:r>
        <w:rPr>
          <w:i/>
          <w:color w:val="000000" w:themeColor="text1"/>
          <w14:textFill>
            <w14:solidFill>
              <w14:schemeClr w14:val="tx1"/>
            </w14:solidFill>
          </w14:textFill>
        </w:rPr>
        <w:t xml:space="preserve">k</w:t>
      </w:r>
      <w:r>
        <w:rPr>
          <w:color w:val="000000" w:themeColor="text1"/>
          <w14:textFill>
            <w14:solidFill>
              <w14:schemeClr w14:val="tx1"/>
            </w14:solidFill>
          </w14:textFill>
        </w:rPr>
        <w:t xml:space="preserve">(99)＝3，从而分别得</w:t>
      </w:r>
      <w:r>
        <w:rPr>
          <w:i/>
          <w:color w:val="000000" w:themeColor="text1"/>
          <w14:textFill>
            <w14:solidFill>
              <w14:schemeClr w14:val="tx1"/>
            </w14:solidFill>
          </w14:textFill>
        </w:rPr>
        <w:t xml:space="preserve">U</w:t>
      </w:r>
      <w:r>
        <w:rPr>
          <w:color w:val="000000" w:themeColor="text1"/>
          <w14:textFill>
            <w14:solidFill>
              <w14:schemeClr w14:val="tx1"/>
            </w14:solidFill>
          </w14:textFill>
        </w:rPr>
        <w:t xml:space="preserve">(95)＝2</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oMath>
      <w:r>
        <w:rPr>
          <w:color w:val="000000" w:themeColor="text1"/>
          <w14:textFill>
            <w14:solidFill>
              <w14:schemeClr w14:val="tx1"/>
            </w14:solidFill>
          </w14:textFill>
        </w:rPr>
        <w:t xml:space="preserve">、</w:t>
      </w:r>
      <w:r>
        <w:rPr>
          <w:i/>
          <w:color w:val="000000" w:themeColor="text1"/>
          <w14:textFill>
            <w14:solidFill>
              <w14:schemeClr w14:val="tx1"/>
            </w14:solidFill>
          </w14:textFill>
        </w:rPr>
        <w:t xml:space="preserve">U</w:t>
      </w:r>
      <w:r>
        <w:rPr>
          <w:color w:val="000000" w:themeColor="text1"/>
          <w14:textFill>
            <w14:solidFill>
              <w14:schemeClr w14:val="tx1"/>
            </w14:solidFill>
          </w14:textFill>
        </w:rPr>
        <w:t xml:space="preserve">(99)＝3 </w:t>
      </w:r>
      <m:oMath>
        <m:sSub>
          <m:sSubPr>
            <m:ctrlPr>
              <w:rPr>
                <w:rFonts w:ascii="Cambria Math" w:hAnsi="Cambria Math"/>
                <w:color w:val="000000"/>
                <w14:textFill>
                  <w14:solidFill>
                    <w14:schemeClr w14:val="tx1"/>
                  </w14:solidFill>
                </w14:textFill>
              </w:rPr>
            </m:ctrlPr>
          </m:sSubPr>
          <m:e>
            <m:r>
              <w:rPr>
                <w:rFonts w:ascii="Cambria Math" w:hAnsi="Cambria Math"/>
                <w:color w:val="000000" w:themeColor="text1"/>
                <w14:textFill>
                  <w14:solidFill>
                    <w14:schemeClr w14:val="tx1"/>
                  </w14:solidFill>
                </w14:textFill>
              </w:rPr>
              <m:rPr/>
              <m:t>u</m:t>
            </m:r>
          </m:e>
          <m:sub>
            <m:r>
              <w:rPr>
                <w:rFonts w:ascii="Cambria Math" w:hAnsi="Cambria Math"/>
                <w:color w:val="000000" w:themeColor="text1"/>
                <w14:textFill>
                  <w14:solidFill>
                    <w14:schemeClr w14:val="tx1"/>
                  </w14:solidFill>
                </w14:textFill>
              </w:rPr>
              <m:rPr/>
              <m:t>c</m:t>
            </m:r>
          </m:sub>
        </m:sSub>
      </m:oMath>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若未注明k值，则指k=2。</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检测实验室测量结果的不确定度评估中，而直接取置信水平95％，</w:t>
      </w:r>
      <w:r>
        <w:rPr>
          <w:i/>
          <w:color w:val="000000" w:themeColor="text1"/>
          <w14:textFill>
            <w14:solidFill>
              <w14:schemeClr w14:val="tx1"/>
            </w14:solidFill>
          </w14:textFill>
        </w:rPr>
        <w:t xml:space="preserve">k</w:t>
      </w:r>
      <w:r>
        <w:rPr>
          <w:color w:val="000000" w:themeColor="text1"/>
          <w14:textFill>
            <w14:solidFill>
              <w14:schemeClr w14:val="tx1"/>
            </w14:solidFill>
          </w14:textFill>
        </w:rPr>
        <w:t xml:space="preserve">＝2。</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检测实验室不确定度评定说明：</w:t>
      </w:r>
      <w:r>
        <w:rPr>
          <w:color w:val="000000" w:themeColor="text1"/>
          <w14:textFill>
            <w14:solidFill>
              <w14:schemeClr w14:val="tx1"/>
            </w14:solidFill>
          </w14:textFill>
        </w:rPr>
      </w:r>
    </w:p>
    <w:p>
      <w:pPr>
        <w:pStyle w:val="1996"/>
        <w:numPr>
          <w:ilvl w:val="0"/>
          <w:numId w:val="35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可以不给出自由度；</w:t>
      </w:r>
      <w:r>
        <w:rPr>
          <w:color w:val="000000" w:themeColor="text1"/>
          <w14:textFill>
            <w14:solidFill>
              <w14:schemeClr w14:val="tx1"/>
            </w14:solidFill>
          </w14:textFill>
        </w:rPr>
      </w:r>
    </w:p>
    <w:p>
      <w:pPr>
        <w:pStyle w:val="1996"/>
        <w:numPr>
          <w:ilvl w:val="0"/>
          <w:numId w:val="35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不确定度合成时，可以不考虑相关性（各不确定度分量彼此独立）；若某些分量对合成不确定度影响确实很小时，可以忽略不记（最好能有说明）；</w:t>
      </w:r>
      <w:r>
        <w:rPr>
          <w:b/>
          <w:color w:val="000000" w:themeColor="text1"/>
          <w14:textFill>
            <w14:solidFill>
              <w14:schemeClr w14:val="tx1"/>
            </w14:solidFill>
          </w14:textFill>
        </w:rPr>
        <w:t xml:space="preserve"> </w:t>
      </w:r>
      <w:r>
        <w:rPr>
          <w:color w:val="000000" w:themeColor="text1"/>
          <w14:textFill>
            <w14:solidFill>
              <w14:schemeClr w14:val="tx1"/>
            </w14:solidFill>
          </w14:textFill>
        </w:rPr>
      </w:r>
    </w:p>
    <w:p>
      <w:pPr>
        <w:pStyle w:val="1996"/>
        <w:numPr>
          <w:ilvl w:val="0"/>
          <w:numId w:val="35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包含因子统一取k=2；</w:t>
      </w:r>
      <w:r>
        <w:rPr>
          <w:color w:val="000000" w:themeColor="text1"/>
          <w14:textFill>
            <w14:solidFill>
              <w14:schemeClr w14:val="tx1"/>
            </w14:solidFill>
          </w14:textFill>
        </w:rPr>
      </w:r>
    </w:p>
    <w:p>
      <w:pPr>
        <w:pStyle w:val="1996"/>
        <w:numPr>
          <w:ilvl w:val="0"/>
          <w:numId w:val="35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对于某些广泛公认的检测方法，如果该方法规定了测量不确定度主要来源的极限值和计算结果的表现形式，这时，实验室遵守该检测方法和测量结果报告要求即可；</w:t>
      </w:r>
      <w:r>
        <w:rPr>
          <w:color w:val="000000" w:themeColor="text1"/>
          <w14:textFill>
            <w14:solidFill>
              <w14:schemeClr w14:val="tx1"/>
            </w14:solidFill>
          </w14:textFill>
        </w:rPr>
      </w:r>
    </w:p>
    <w:p>
      <w:pPr>
        <w:pStyle w:val="1996"/>
        <w:numPr>
          <w:ilvl w:val="0"/>
          <w:numId w:val="35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于某些检测方法的性质，决定了无法从计量学和统计学的角度来有效而严格评定不确定度时，应至少通过分析方法，尽力列出各主要不确定度的分量并做出合理的评定。同时应确保测量结果的报告形式不会使客户造成对所给定的测量不确定度产生误解；</w:t>
      </w:r>
      <w:r>
        <w:rPr>
          <w:color w:val="000000" w:themeColor="text1"/>
          <w14:textFill>
            <w14:solidFill>
              <w14:schemeClr w14:val="tx1"/>
            </w14:solidFill>
          </w14:textFill>
        </w:rPr>
      </w:r>
    </w:p>
    <w:p>
      <w:pPr>
        <w:pStyle w:val="1996"/>
        <w:numPr>
          <w:ilvl w:val="0"/>
          <w:numId w:val="35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不确定度概率分布情况的估计按</w:t>
      </w:r>
      <w:r>
        <w:fldChar w:fldCharType="begin"/>
      </w:r>
      <w:r>
        <w:instrText xml:space="preserve"> HYPERLINK "https://pqsuhhq8yu6.feishu.cn/wiki/VrV4wsYAMikp3QklbHncosIBnAf" \h </w:instrText>
      </w:r>
      <w:r>
        <w:fldChar w:fldCharType="separate"/>
      </w:r>
      <w:r>
        <w:rPr>
          <w:color w:val="000000" w:themeColor="text1"/>
          <w14:textFill>
            <w14:solidFill>
              <w14:schemeClr w14:val="tx1"/>
            </w14:solidFill>
          </w14:textFill>
        </w:rPr>
        <w:t xml:space="preserve">JJF 1059.1-2012 测量不确定度评定与表示</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中附录B执行。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 测量不确定度的报告与表示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4.7.1 当给出完整的测量结果时，一般应报告其扩展测量不确定度，测量不确定度报告内容：</w:t>
      </w:r>
      <w:r>
        <w:rPr>
          <w:color w:val="000000" w:themeColor="text1"/>
          <w14:textFill>
            <w14:solidFill>
              <w14:schemeClr w14:val="tx1"/>
            </w14:solidFill>
          </w14:textFill>
        </w:rPr>
      </w:r>
    </w:p>
    <w:p>
      <w:pPr>
        <w:pStyle w:val="1996"/>
        <w:numPr>
          <w:ilvl w:val="0"/>
          <w:numId w:val="35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被测量的测量模型；</w:t>
      </w:r>
      <w:r>
        <w:rPr>
          <w:color w:val="000000" w:themeColor="text1"/>
          <w14:textFill>
            <w14:solidFill>
              <w14:schemeClr w14:val="tx1"/>
            </w14:solidFill>
          </w14:textFill>
        </w:rPr>
      </w:r>
    </w:p>
    <w:p>
      <w:pPr>
        <w:pStyle w:val="1996"/>
        <w:numPr>
          <w:ilvl w:val="0"/>
          <w:numId w:val="35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不确定度来源；</w:t>
      </w:r>
      <w:r>
        <w:rPr>
          <w:color w:val="000000" w:themeColor="text1"/>
          <w14:textFill>
            <w14:solidFill>
              <w14:schemeClr w14:val="tx1"/>
            </w14:solidFill>
          </w14:textFill>
        </w:rPr>
      </w:r>
    </w:p>
    <w:p>
      <w:pPr>
        <w:pStyle w:val="1996"/>
        <w:numPr>
          <w:ilvl w:val="0"/>
          <w:numId w:val="35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输入量的标准不确定度的值及其评定方法评定过程；</w:t>
      </w:r>
      <w:r>
        <w:rPr>
          <w:color w:val="000000" w:themeColor="text1"/>
          <w14:textFill>
            <w14:solidFill>
              <w14:schemeClr w14:val="tx1"/>
            </w14:solidFill>
          </w14:textFill>
        </w:rPr>
      </w:r>
    </w:p>
    <w:p>
      <w:pPr>
        <w:pStyle w:val="1996"/>
        <w:numPr>
          <w:ilvl w:val="0"/>
          <w:numId w:val="35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灵敏度系数；</w:t>
      </w:r>
      <w:r>
        <w:rPr>
          <w:color w:val="000000" w:themeColor="text1"/>
          <w14:textFill>
            <w14:solidFill>
              <w14:schemeClr w14:val="tx1"/>
            </w14:solidFill>
          </w14:textFill>
        </w:rPr>
      </w:r>
    </w:p>
    <w:p>
      <w:pPr>
        <w:pStyle w:val="1996"/>
        <w:numPr>
          <w:ilvl w:val="0"/>
          <w:numId w:val="36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输出量的不确定度分量，必要时给出各分量的自由度；</w:t>
      </w:r>
      <w:r>
        <w:rPr>
          <w:color w:val="000000" w:themeColor="text1"/>
          <w14:textFill>
            <w14:solidFill>
              <w14:schemeClr w14:val="tx1"/>
            </w14:solidFill>
          </w14:textFill>
        </w:rPr>
      </w:r>
    </w:p>
    <w:p>
      <w:pPr>
        <w:pStyle w:val="1996"/>
        <w:numPr>
          <w:ilvl w:val="0"/>
          <w:numId w:val="36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对所有相关的输入量给出其协方差或相关系数；</w:t>
      </w:r>
      <w:r>
        <w:rPr>
          <w:color w:val="000000" w:themeColor="text1"/>
          <w14:textFill>
            <w14:solidFill>
              <w14:schemeClr w14:val="tx1"/>
            </w14:solidFill>
          </w14:textFill>
        </w:rPr>
      </w:r>
    </w:p>
    <w:p>
      <w:pPr>
        <w:pStyle w:val="1996"/>
        <w:numPr>
          <w:ilvl w:val="0"/>
          <w:numId w:val="36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合成标准不确定度及其计算过程，必要时给出有效自由度；</w:t>
      </w:r>
      <w:r>
        <w:rPr>
          <w:color w:val="000000" w:themeColor="text1"/>
          <w14:textFill>
            <w14:solidFill>
              <w14:schemeClr w14:val="tx1"/>
            </w14:solidFill>
          </w14:textFill>
        </w:rPr>
      </w:r>
    </w:p>
    <w:p>
      <w:pPr>
        <w:pStyle w:val="1996"/>
        <w:numPr>
          <w:ilvl w:val="0"/>
          <w:numId w:val="36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扩展不确定度及其确定方法；</w:t>
      </w:r>
      <w:r>
        <w:rPr>
          <w:color w:val="000000" w:themeColor="text1"/>
          <w14:textFill>
            <w14:solidFill>
              <w14:schemeClr w14:val="tx1"/>
            </w14:solidFill>
          </w14:textFill>
        </w:rPr>
      </w:r>
    </w:p>
    <w:p>
      <w:pPr>
        <w:pStyle w:val="1996"/>
        <w:numPr>
          <w:ilvl w:val="0"/>
          <w:numId w:val="36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报告测量结果，包括被测量的估计值及其测量不确定度。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4.7.2 检测实验室测量不确定度报告包括：</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一般情况下，仅给出被测量的估计值、标准不确定度、扩展不确定度的数值和</w:t>
      </w:r>
      <w:r>
        <w:rPr>
          <w:i/>
          <w:color w:val="000000" w:themeColor="text1"/>
          <w14:textFill>
            <w14:solidFill>
              <w14:schemeClr w14:val="tx1"/>
            </w14:solidFill>
          </w14:textFill>
        </w:rPr>
        <w:t xml:space="preserve">k</w:t>
      </w:r>
      <w:r>
        <w:rPr>
          <w:color w:val="000000" w:themeColor="text1"/>
          <w14:textFill>
            <w14:solidFill>
              <w14:schemeClr w14:val="tx1"/>
            </w14:solidFill>
          </w14:textFill>
        </w:rPr>
        <w:t xml:space="preserve">值就足够了。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4.7.3 不确定度可以用相对形式表示U(rel)。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4.7.4 不确定度单独表示时，不要加</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4.7.5 在相同计量单位下，被测量的估计值末位与不确定度的末位一致。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4.7.6 扩展不确定度只取2位有效数字，其他小数位原则上只进不舍。</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 测量不确定度评定程序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4.8.1 在方法标准中有不确定度要求、检验检测出现临界值、内部质量控制或客户有要求时，报告测量不确定度。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4.8.2 当需要开展测量不确定度评定时，由实验室室主任填写</w:t>
      </w:r>
      <w:r>
        <w:fldChar w:fldCharType="begin"/>
      </w:r>
      <w:r>
        <w:instrText xml:space="preserve"> HYPERLINK "https://pqsuhhq8yu6.feishu.cn/wiki/LkNZw4EhHirjPlkTXqUcFJQcnsd" \h </w:instrText>
      </w:r>
      <w:r>
        <w:fldChar w:fldCharType="separate"/>
      </w:r>
      <w:r>
        <w:rPr>
          <w:color w:val="000000" w:themeColor="text1"/>
          <w14:textFill>
            <w14:solidFill>
              <w14:schemeClr w14:val="tx1"/>
            </w14:solidFill>
          </w14:textFill>
        </w:rPr>
        <w:t xml:space="preserve">ZJZ/JL23-1测量不确定度评定表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，经技术负责人审批后出具测量不确定度报告。</w:t>
      </w:r>
      <w:r>
        <w:rPr>
          <w:b/>
          <w:color w:val="000000" w:themeColor="text1"/>
          <w14:textFill>
            <w14:solidFill>
              <w14:schemeClr w14:val="tx1"/>
            </w14:solidFill>
          </w14:textFill>
        </w:rPr>
        <w:t xml:space="preserve">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4.8.3 各领域实验室室主任和授权签字人或报告批准人必须经过不确定度培训并取证。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4.8.4 本站各专业每年度至少出具一份本专业的典型项目的不确定度报告。</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相关文件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"https://pqsuhhq8yu6.feishu.cn/wiki/VrV4wsYAMikp3QklbHncosIBnAf" \h </w:instrText>
      </w:r>
      <w:r>
        <w:fldChar w:fldCharType="separate"/>
      </w:r>
      <w:r>
        <w:rPr>
          <w:color w:val="000000" w:themeColor="text1"/>
          <w14:textFill>
            <w14:solidFill>
              <w14:schemeClr w14:val="tx1"/>
            </w14:solidFill>
          </w14:textFill>
        </w:rPr>
        <w:t xml:space="preserve">JJF 1059.1-2012 测量不确定度评定与表示</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"https://pqsuhhq8yu6.feishu.cn/wiki/JYK0wjvqEi4nrqkfgJHccPdNnR4" \h </w:instrText>
      </w:r>
      <w:r>
        <w:fldChar w:fldCharType="separate"/>
      </w:r>
      <w:r>
        <w:rPr>
          <w:color w:val="000000" w:themeColor="text1"/>
          <w14:textFill>
            <w14:solidFill>
              <w14:schemeClr w14:val="tx1"/>
            </w14:solidFill>
          </w14:textFill>
        </w:rPr>
        <w:t xml:space="preserve">石油石化领域理化检测测量不确定度评估指南及实例</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"https://pqsuhhq8yu6.feishu.cn/wiki/LkNZw4EhHirjPlkTXqUcFJQcnsd" \h </w:instrText>
      </w:r>
      <w:r>
        <w:fldChar w:fldCharType="separate"/>
      </w:r>
      <w:r>
        <w:rPr>
          <w:color w:val="000000" w:themeColor="text1"/>
          <w14:textFill>
            <w14:solidFill>
              <w14:schemeClr w14:val="tx1"/>
            </w14:solidFill>
          </w14:textFill>
        </w:rPr>
        <w:t xml:space="preserve">ZJZ/JL23-1 测量不确定度评定表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45" w:name="_Toc17541"/>
      <w:r>
        <w:rPr>
          <w:color w:val="000000" w:themeColor="text1"/>
          <w14:textFill>
            <w14:solidFill>
              <w14:schemeClr w14:val="tx1"/>
            </w14:solidFill>
          </w14:textFill>
        </w:rPr>
        <w:t xml:space="preserve">ZJZ/CX-24 数据和信息管理程序</w:t>
      </w:r>
      <w:bookmarkEnd w:id="45"/>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对检验检测用计算机或自动化设备、网络系统、计算机软件进行有效的控制， 维持系统正常运行，以保护数据、信息、文件的完整性和安全性。</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适用于进行检验检测数据采集、处理、运算、记录、报告、存贮和检索， 信息和文件存储、 传输或检索的计算机或自动化设备、网络系统、软件的管理。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技术负责人：负责对数据处理软件及信息化系统首次投入使用前数据录入的原始性、数据修改的溯源性、数据存储的安全性和完整性的审批。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质量负责人：负责对数据和信息的管理开展监督检查。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检验检测人员：负责本岗位计算机或自动化设备的维护、数据采集、处理、运算、记录、报告、存储等工作。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实验室室主任：负责数据处理软件及信息化系统投入使用前的功能确认，负责组织定期抽查检验检测报告，并开展数据校验确认工作。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生产运行室标准信息岗</w:t>
      </w:r>
      <w:r>
        <w:rPr>
          <w:rFonts w:hint="eastAsia"/>
          <w:color w:val="000000" w:themeColor="text1"/>
          <w14:textFill>
            <w14:solidFill>
              <w14:schemeClr w14:val="tx1"/>
            </w14:solidFill>
          </w14:textFill>
        </w:rPr>
        <w:t xml:space="preserve">：</w:t>
      </w:r>
      <w:r>
        <w:rPr>
          <w:color w:val="000000" w:themeColor="text1"/>
          <w14:textFill>
            <w14:solidFill>
              <w14:schemeClr w14:val="tx1"/>
            </w14:solidFill>
          </w14:textFill>
        </w:rPr>
        <w:t xml:space="preserve">负责计算机的软件安装和病毒防护；负责数据处理软件及信息化系统的维护。</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网络安全和病毒防护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实验室的计算机数据安全维护管理工作由实验检测技术中心综合管理室网络管理员统一管理；任何部门和个人，未经技术负责人同意不得不得擅自安装、拆卸或改变现有的网络设备设置。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任何部门和个人不得利用联网计算机从事危害本站数据服务器、局域网服务器、工作站的活动。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用于检测工作的计算机不得私自下载、或安装与工作无关的软件。严禁在局域网上使用来历不明、引发病毒传染的软件；对于来历不明的可能引起计算机病毒的软件应使用杀毒软件检查、消毒，确保检验检测用软件和数据、信息、文件的完整和安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网络系统为每个员工设置登入口令和密码，并根据人员职责设定不同的设置不同的权限。每个员工负责对自己的登录口令和密码保密。当个人权限因工作岗位调整发生变化时，向实验检测技术中心标准信息岗申请修改授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采集数据的计算机禁止接入外部互联网，以保证系统安全性和稳定性。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检验检测用计算机及数据采集自动化设备</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用于检验检测和数据管理的计算机及自动化设备应纳入</w:t>
      </w:r>
      <w:r>
        <w:fldChar w:fldCharType="begin"/>
      </w:r>
      <w:r>
        <w:instrText xml:space="preserve"> HYPERLINK "https://pqsuhhq8yu6.feishu.cn/wiki/RJWKwGmfXifeHrkkH1ycK9f0njc" \h </w:instrText>
      </w:r>
      <w:r>
        <w:fldChar w:fldCharType="separate"/>
      </w:r>
      <w:r>
        <w:rPr>
          <w:color w:val="000000" w:themeColor="text1"/>
          <w14:textFill>
            <w14:solidFill>
              <w14:schemeClr w14:val="tx1"/>
            </w14:solidFill>
          </w14:textFill>
        </w:rPr>
        <w:t xml:space="preserve">ZJZ/CX-5 设备管理程序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的管理范围，应建立独立的计算机台账。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检验检测用计算机或自动化设备的使用环境条件必须符合其使用要求和检验检测工作要求（如温度、湿度、电磁干扰等），必要时应进行有效的监控。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需要对计算机或自动化设备进行设置的，应由经培训的操作人员操作，并检查输入数据或参数设置的完整性和正确性。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计算机或自动化设备进行数据采集、处理过程中，必须保证整个过程的连续性和完整性。过程结束后，应及时进行检查、核对。若运行过程中发生异常情况，应重新进行采集和处理。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计算机或自动化设备出现故障时，应及时通知网络管理员。修复过程中，应采取必要的安全保密措施，防止计算机中存贮的程序、文件或数据失密、丢失或被修改。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检验检测工作各个环节的责任人（包括检验检测人员、报告编制人、审核人、授权签字人等）应对计算和数据转移（包括人工手动操作和使用计算机或自动化设备的数据传输）进行检查，确保数据在转移中保持正确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实验室应尽可能使用数据处理软件及信息化系统自动采集检验检测数据和信息。当数据处理软件及信息化系统不能自动采集检验检测数据时，检验检测人员应在实验检测过程中将数据直接录入信息化系统。在进行数据录入时应进行核对，确保数据录入的正确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4.2.8 对计算机自动采集的数据，检测人员在实验过程中应对采集的数据进行核查，确保数据采集质量。实验完成后，采集的数据作为原始记录一部分，随报告归档。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对自动采集或直接录入信息管理系统中的数据的任何更改，应执行</w:t>
      </w: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中的相关修改要求，保存修改信息。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计算机软件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各实验室室主任负责组织岗位人员对数据处理软件及信息化系统的功能确认，包括数据处理软件及信息化系统界面的试运行，</w:t>
      </w:r>
      <w:r>
        <w:rPr>
          <w:rFonts w:hint="eastAsia"/>
          <w:color w:val="000000" w:themeColor="text1"/>
          <w14:textFill>
            <w14:solidFill>
              <w14:schemeClr w14:val="tx1"/>
            </w14:solidFill>
          </w14:textFill>
        </w:rPr>
        <w:t xml:space="preserve">按计划</w:t>
      </w:r>
      <w:r>
        <w:rPr>
          <w:color w:val="000000" w:themeColor="text1"/>
          <w14:textFill>
            <w14:solidFill>
              <w14:schemeClr w14:val="tx1"/>
            </w14:solidFill>
          </w14:textFill>
        </w:rPr>
        <w:t xml:space="preserve">填写</w:t>
      </w:r>
      <w:r>
        <w:rPr>
          <w:color w:val="000000"/>
          <w:sz w:val="24"/>
        </w:rPr>
        <w:t xml:space="preserve">ZJZ/JL24-1</w:t>
      </w:r>
      <w:r>
        <w:rPr>
          <w:rFonts w:hint="eastAsia"/>
        </w:rPr>
        <w:t xml:space="preserve">信息管理系统报告检查表</w:t>
      </w:r>
      <w:r>
        <w:rPr>
          <w:color w:val="000000" w:themeColor="text1"/>
          <w14:textFill>
            <w14:solidFill>
              <w14:schemeClr w14:val="tx1"/>
            </w14:solidFill>
          </w14:textFill>
        </w:rPr>
        <w:t xml:space="preserve">，确认内容包括但不限于下述要求：</w:t>
      </w:r>
      <w:r>
        <w:rPr>
          <w:color w:val="000000" w:themeColor="text1"/>
          <w14:textFill>
            <w14:solidFill>
              <w14:schemeClr w14:val="tx1"/>
            </w14:solidFill>
          </w14:textFill>
        </w:rPr>
      </w:r>
    </w:p>
    <w:p>
      <w:pPr>
        <w:pStyle w:val="1996"/>
        <w:numPr>
          <w:ilvl w:val="0"/>
          <w:numId w:val="36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数据录入、修改、处理、运算、记录、报告等是否满足方法标准和质量管理体系要求。采用人工数据处理出具的原始记录及报告与信息化系统出具的原始记录及报告进行比对的方式，包括原始数据录入、数据修改、数据修约、数据运算、原始记录及报告格式等；</w:t>
      </w:r>
      <w:r>
        <w:rPr>
          <w:color w:val="000000" w:themeColor="text1"/>
          <w14:textFill>
            <w14:solidFill>
              <w14:schemeClr w14:val="tx1"/>
            </w14:solidFill>
          </w14:textFill>
        </w:rPr>
      </w:r>
    </w:p>
    <w:p>
      <w:pPr>
        <w:pStyle w:val="1996"/>
        <w:numPr>
          <w:ilvl w:val="0"/>
          <w:numId w:val="36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数据采集是否原始、完整。采用自动化设备原始数据与信息化系统采集数据进行比对的方式，包括数据及谱图的原始性和完整性。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w:t>
      </w:r>
      <w:r>
        <w:rPr>
          <w:rFonts w:hint="eastAsia"/>
          <w:color w:val="000000" w:themeColor="text1"/>
          <w:lang w:val="en-US" w:eastAsia="zh-CN"/>
          <w14:textFill>
            <w14:solidFill>
              <w14:schemeClr w14:val="tx1"/>
            </w14:solidFill>
          </w14:textFill>
        </w:rPr>
        <w:t xml:space="preserve">2</w:t>
      </w:r>
      <w:r>
        <w:rPr>
          <w:color w:val="000000" w:themeColor="text1"/>
          <w14:textFill>
            <w14:solidFill>
              <w14:schemeClr w14:val="tx1"/>
            </w14:solidFill>
          </w14:textFill>
        </w:rPr>
        <w:t xml:space="preserve"> 技术负责人负责对数据处理软件及信息化系统首次投入使用前数据录入的原始性、数据修改的溯源性、数据存储的安全性和完整性的功能确认的审批，</w:t>
      </w:r>
      <w:r>
        <w:rPr>
          <w:rFonts w:hint="eastAsia"/>
          <w:color w:val="000000" w:themeColor="text1"/>
          <w:highlight w:val="yellow"/>
          <w14:textFill>
            <w14:solidFill>
              <w14:schemeClr w14:val="tx1"/>
            </w14:solidFill>
          </w14:textFill>
        </w:rPr>
        <w:t xml:space="preserve">填写</w:t>
      </w:r>
      <w:r>
        <w:fldChar w:fldCharType="begin"/>
      </w:r>
      <w:r>
        <w:instrText xml:space="preserve"> HYPERLINK "https://pqsuhhq8yu6.feishu.cn/wiki/IiylwJ3OLiqsTvkY6QPccb7PnAg" \h </w:instrText>
      </w:r>
      <w:r>
        <w:fldChar w:fldCharType="separate"/>
      </w:r>
      <w:r>
        <w:rPr>
          <w:color w:val="000000" w:themeColor="text1"/>
          <w:highlight w:val="yellow"/>
          <w14:textFill>
            <w14:solidFill>
              <w14:schemeClr w14:val="tx1"/>
            </w14:solidFill>
          </w14:textFill>
        </w:rPr>
        <w:t xml:space="preserve">ZJZ/JL24-2 </w:t>
      </w:r>
      <w:r>
        <w:rPr>
          <w:rFonts w:hint="eastAsia"/>
          <w:color w:val="000000" w:themeColor="text1"/>
          <w:highlight w:val="yellow"/>
          <w14:textFill>
            <w14:solidFill>
              <w14:schemeClr w14:val="tx1"/>
            </w14:solidFill>
          </w14:textFill>
        </w:rPr>
        <w:t xml:space="preserve">实验分析管理系统验证评估表</w:t>
      </w:r>
      <w:r>
        <w:rPr>
          <w:rFonts w:hint="eastAsia"/>
          <w:color w:val="000000" w:themeColor="text1"/>
          <w:highlight w:val="yellow"/>
          <w14:textFill>
            <w14:solidFill>
              <w14:schemeClr w14:val="tx1"/>
            </w14:solidFill>
          </w14:textFill>
        </w:rPr>
        <w:fldChar w:fldCharType="end"/>
      </w:r>
      <w:r>
        <w:rPr>
          <w:rFonts w:hint="eastAsia"/>
          <w:color w:val="000000" w:themeColor="text1"/>
          <w14:textFill>
            <w14:solidFill>
              <w14:schemeClr w14:val="tx1"/>
            </w14:solidFill>
          </w14:textFill>
        </w:rPr>
        <w:t xml:space="preserve">，</w:t>
      </w:r>
      <w:r>
        <w:rPr>
          <w:color w:val="000000" w:themeColor="text1"/>
          <w14:textFill>
            <w14:solidFill>
              <w14:schemeClr w14:val="tx1"/>
            </w14:solidFill>
          </w14:textFill>
        </w:rPr>
        <w:t xml:space="preserve">批准后方可投入使用；实验室室主任负责数据处理软件及信息化系统运行过程中功能再确认的审批。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w:t>
      </w:r>
      <w:r>
        <w:rPr>
          <w:rFonts w:hint="eastAsia"/>
          <w:color w:val="000000" w:themeColor="text1"/>
          <w:lang w:val="en-US" w:eastAsia="zh-CN"/>
          <w14:textFill>
            <w14:solidFill>
              <w14:schemeClr w14:val="tx1"/>
            </w14:solidFill>
          </w14:textFill>
        </w:rPr>
        <w:t xml:space="preserve">3</w:t>
      </w:r>
      <w:r>
        <w:rPr>
          <w:color w:val="000000" w:themeColor="text1"/>
          <w14:textFill>
            <w14:solidFill>
              <w14:schemeClr w14:val="tx1"/>
            </w14:solidFill>
          </w14:textFill>
        </w:rPr>
        <w:t xml:space="preserve"> 功能确认时机包含但不限于以下情况：</w:t>
      </w:r>
      <w:r>
        <w:rPr>
          <w:color w:val="000000" w:themeColor="text1"/>
          <w14:textFill>
            <w14:solidFill>
              <w14:schemeClr w14:val="tx1"/>
            </w14:solidFill>
          </w14:textFill>
        </w:rPr>
      </w:r>
    </w:p>
    <w:p>
      <w:pPr>
        <w:pStyle w:val="1996"/>
        <w:numPr>
          <w:ilvl w:val="0"/>
          <w:numId w:val="36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数据处理软件及信息化系统首次投入使用；</w:t>
      </w:r>
      <w:r>
        <w:rPr>
          <w:color w:val="000000" w:themeColor="text1"/>
          <w14:textFill>
            <w14:solidFill>
              <w14:schemeClr w14:val="tx1"/>
            </w14:solidFill>
          </w14:textFill>
        </w:rPr>
      </w:r>
    </w:p>
    <w:p>
      <w:pPr>
        <w:pStyle w:val="1996"/>
        <w:numPr>
          <w:ilvl w:val="0"/>
          <w:numId w:val="36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数据处理软件及信息化系统运行每半年进行一次确认；</w:t>
      </w:r>
      <w:r>
        <w:rPr>
          <w:color w:val="000000" w:themeColor="text1"/>
          <w14:textFill>
            <w14:solidFill>
              <w14:schemeClr w14:val="tx1"/>
            </w14:solidFill>
          </w14:textFill>
        </w:rPr>
      </w:r>
    </w:p>
    <w:p>
      <w:pPr>
        <w:pStyle w:val="1996"/>
        <w:numPr>
          <w:ilvl w:val="0"/>
          <w:numId w:val="36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数据处理软件及信息化系统改变后的再确认。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数据处理软件及信息化系统的修改，须经</w:t>
      </w:r>
      <w:r>
        <w:rPr>
          <w:rFonts w:hint="eastAsia"/>
          <w:color w:val="000000" w:themeColor="text1"/>
          <w14:textFill>
            <w14:solidFill>
              <w14:schemeClr w14:val="tx1"/>
            </w14:solidFill>
          </w14:textFill>
        </w:rPr>
        <w:t xml:space="preserve">技术负责人</w:t>
      </w:r>
      <w:r>
        <w:rPr>
          <w:color w:val="000000" w:themeColor="text1"/>
          <w14:textFill>
            <w14:solidFill>
              <w14:schemeClr w14:val="tx1"/>
            </w14:solidFill>
          </w14:textFill>
        </w:rPr>
        <w:t xml:space="preserve">审批后交由信息化系统运维人员处理，填写</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信息化系统修改申请单</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。未经审批不能对数据处理软件及信息化系统进行任何修改。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自主开发的计算机数据处理软件，需打印源程序代码，并将使用说明存档在该设备档案中，首次使用前其适用性需经与人工数据处理对比，确认无误后投入使用。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4.3.6严格控制系统中有关人员权限：</w:t>
      </w:r>
      <w:r>
        <w:rPr>
          <w:color w:val="000000" w:themeColor="text1"/>
          <w14:textFill>
            <w14:solidFill>
              <w14:schemeClr w14:val="tx1"/>
            </w14:solidFill>
          </w14:textFill>
        </w:rPr>
      </w:r>
    </w:p>
    <w:p>
      <w:pPr>
        <w:pStyle w:val="1996"/>
        <w:numPr>
          <w:ilvl w:val="0"/>
          <w:numId w:val="37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用户权限新增、变更需经</w:t>
      </w:r>
      <w:r>
        <w:rPr>
          <w:rFonts w:hint="eastAsia"/>
          <w:color w:val="000000" w:themeColor="text1"/>
          <w14:textFill>
            <w14:solidFill>
              <w14:schemeClr w14:val="tx1"/>
            </w14:solidFill>
          </w14:textFill>
        </w:rPr>
        <w:t xml:space="preserve">质量负责人</w:t>
      </w:r>
      <w:r>
        <w:rPr>
          <w:color w:val="000000" w:themeColor="text1"/>
          <w14:textFill>
            <w14:solidFill>
              <w14:schemeClr w14:val="tx1"/>
            </w14:solidFill>
          </w14:textFill>
        </w:rPr>
        <w:t xml:space="preserve">审批后提交生产运行室标准信息岗；</w:t>
      </w:r>
      <w:r>
        <w:rPr>
          <w:color w:val="000000" w:themeColor="text1"/>
          <w14:textFill>
            <w14:solidFill>
              <w14:schemeClr w14:val="tx1"/>
            </w14:solidFill>
          </w14:textFill>
        </w:rPr>
      </w:r>
    </w:p>
    <w:p>
      <w:pPr>
        <w:pStyle w:val="1996"/>
        <w:numPr>
          <w:ilvl w:val="0"/>
          <w:numId w:val="37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检测人员必须以个人用户名和密码进入系统后，才能进行授权范围内的操作；任何人不得借用、盗用其他人的用户、密码和功能。</w:t>
      </w:r>
      <w:r>
        <w:rPr>
          <w:color w:val="000000" w:themeColor="text1"/>
          <w14:textFill>
            <w14:solidFill>
              <w14:schemeClr w14:val="tx1"/>
            </w14:solidFill>
          </w14:textFill>
        </w:rPr>
      </w:r>
    </w:p>
    <w:p>
      <w:pPr>
        <w:pStyle w:val="1996"/>
        <w:numPr>
          <w:ilvl w:val="0"/>
          <w:numId w:val="37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经授权的检验检测人员、审核人员、报告批准人才分别具有数据输入和修改、查看、审批的权限。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4.3.7 生产运行室标准信息岗负责数据处理软件及信息化系统统一管理，并提供保护检测数据完整性必须的环境和运行条件，并及时进行维护。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4.3.8 生产运行室标准信息岗负责采用防计算机病毒软件、加密等方式保护数据处理软件及信息化系统中的数据及信息，并及时更新防护软件。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4.3.9 未经技术负责人同意授权，不得将有关数据处理软件及信息化系统中的检验检测数据拷贝、转录外传。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4.3.10 </w:t>
      </w:r>
      <w:r>
        <w:rPr>
          <w:rFonts w:hint="eastAsia"/>
          <w:color w:val="000000" w:themeColor="text1"/>
          <w14:textFill>
            <w14:solidFill>
              <w14:schemeClr w14:val="tx1"/>
            </w14:solidFill>
          </w14:textFill>
        </w:rPr>
        <w:t xml:space="preserve">技术负责人</w:t>
      </w:r>
      <w:r>
        <w:rPr>
          <w:color w:val="000000" w:themeColor="text1"/>
          <w14:textFill>
            <w14:solidFill>
              <w14:schemeClr w14:val="tx1"/>
            </w14:solidFill>
          </w14:textFill>
        </w:rPr>
        <w:t xml:space="preserve">负责对数据处理软件及信息化系统使用者进行培训。需要时，生产运行室标准信息岗组织制定数据处理软件及信息化系统相关的操作手册和参考数据。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4.3.11 所有计算机及数据采集自动化设备上的专用软件均应备份，将其保存在对应的设备档案中。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4.3.12 通用计算机软件（如Windows11，office，wps等）和商品化的数据处理工作站软件视为合格软件，可直接投入使用。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w:t>
      </w:r>
      <w:r>
        <w:rPr>
          <w:b/>
          <w:color w:val="000000" w:themeColor="text1"/>
          <w14:textFill>
            <w14:solidFill>
              <w14:schemeClr w14:val="tx1"/>
            </w14:solidFill>
          </w14:textFill>
        </w:rPr>
        <w:t xml:space="preserve">数据保护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按</w:t>
      </w:r>
      <w:r>
        <w:fldChar w:fldCharType="begin"/>
      </w:r>
      <w:r>
        <w:instrText xml:space="preserve"> HYPERLINK "https://pqsuhhq8yu6.feishu.cn/wiki/FYY4wWzRWiy0VUkla72cfh4ynPf" \h </w:instrText>
      </w:r>
      <w:r>
        <w:fldChar w:fldCharType="separate"/>
      </w:r>
      <w:r>
        <w:rPr>
          <w:color w:val="000000" w:themeColor="text1"/>
          <w14:textFill>
            <w14:solidFill>
              <w14:schemeClr w14:val="tx1"/>
            </w14:solidFill>
          </w14:textFill>
        </w:rPr>
        <w:t xml:space="preserve">ZJZ/CX-2 保护客户秘密和所有权程序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规定保证检验检测数据、信息及文件的保密和安全。本站对客户以纸质发送的检验检测报告或实验分析系统发布的盖章电子报告为最终结果，本站对计算机中储存的客户相关数据和材料及在转移过程中的保密和数据完整性、正确性负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所有计算机应安装病毒防火墙软件。使用软盘、光盘、U盘和移动硬盘操作时，必须先进行病毒检查。若程序或数据已遭破坏，应用备份软件恢复。</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具有软件采集功能和存储的计算机，设置保护密码，仅供操作人员使用，并定期对计算机进行维护，保证计算机的正常使用。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电子印章由最高管理者保管。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4.4.5 计算机中保存文件的管理。当本站的体系文件以网络形式进行发布时，必须设置访问权限和修改权限，以便防止未经批准的修改。电子版体系文件应标注最后的修改日期。</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4.4.6 实验分析系统中若使用电子签名，符合相关法律法规要求。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4.4.7 保护客户机密，电子文档数据如需借阅，执行</w:t>
      </w: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"https://pqsuhhq8yu6.feishu.cn/wiki/FYY4wWzRWiy0VUkla72cfh4ynPf" \h </w:instrText>
      </w:r>
      <w:r>
        <w:fldChar w:fldCharType="separate"/>
      </w:r>
      <w:r>
        <w:rPr>
          <w:color w:val="000000" w:themeColor="text1"/>
          <w14:textFill>
            <w14:solidFill>
              <w14:schemeClr w14:val="tx1"/>
            </w14:solidFill>
          </w14:textFill>
        </w:rPr>
        <w:t xml:space="preserve">ZJZ/CX-2 保护客户秘密和所有权程序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"https://pqsuhhq8yu6.feishu.cn/wiki/RJWKwGmfXifeHrkkH1ycK9f0njc" \h </w:instrText>
      </w:r>
      <w:r>
        <w:fldChar w:fldCharType="separate"/>
      </w:r>
      <w:r>
        <w:rPr>
          <w:color w:val="000000" w:themeColor="text1"/>
          <w14:textFill>
            <w14:solidFill>
              <w14:schemeClr w14:val="tx1"/>
            </w14:solidFill>
          </w14:textFill>
        </w:rPr>
        <w:t xml:space="preserve">ZJZ/CX-5 设备管理程序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w:t>
      </w:r>
      <w:r>
        <w:rPr>
          <w:b/>
          <w:color w:val="000000" w:themeColor="text1"/>
          <w14:textFill>
            <w14:solidFill>
              <w14:schemeClr w14:val="tx1"/>
            </w14:solidFill>
          </w14:textFill>
        </w:rPr>
        <w:t xml:space="preserve">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"https://pqsuhhq8yu6.feishu.cn/wiki/IiylwJ3OLiqsTvkY6QPccb7PnAg" \h </w:instrText>
      </w:r>
      <w:r>
        <w:fldChar w:fldCharType="separate"/>
      </w:r>
      <w:r>
        <w:rPr>
          <w:color w:val="000000" w:themeColor="text1"/>
          <w14:textFill>
            <w14:solidFill>
              <w14:schemeClr w14:val="tx1"/>
            </w14:solidFill>
          </w14:textFill>
        </w:rPr>
        <w:t xml:space="preserve">ZJZ/JL24-1 </w:t>
      </w:r>
      <w:bookmarkStart w:id="46" w:name="_Toc211966598"/>
      <w:r/>
      <w:bookmarkStart w:id="47" w:name="_Toc30241415"/>
      <w:r>
        <w:rPr>
          <w:rFonts w:ascii="Times New Roman" w:hAnsi="Times New Roman" w:cs="Times New Roman"/>
          <w:color w:val="000000"/>
        </w:rPr>
        <w:t xml:space="preserve">信息管理系统报告检查表</w:t>
      </w:r>
      <w:bookmarkEnd w:id="46"/>
      <w:r/>
      <w:bookmarkEnd w:id="47"/>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信息化系统修改申请单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br w:type="page" w:clear="all"/>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48" w:name="_Toc24676"/>
      <w:r>
        <w:rPr>
          <w:color w:val="000000" w:themeColor="text1"/>
          <w14:textFill>
            <w14:solidFill>
              <w14:schemeClr w14:val="tx1"/>
            </w14:solidFill>
          </w14:textFill>
        </w:rPr>
        <w:t xml:space="preserve">ZJZ/CX-25 抽样管理程序</w:t>
      </w:r>
      <w:bookmarkEnd w:id="48"/>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为了确保所抽取的样品具有代表性或实际需要的样品，以保证检验检测结果的科学、公正、有效，特制定本程序。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本程序适用于本站对物质、材料或产品实施抽样作业的控制。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抽样人员：负责制定抽样计划和方法，负责实施抽样作业。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实验室室主任：负责抽样计划和方法的审批。 </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下列情况应进行抽样：</w:t>
      </w:r>
      <w:r>
        <w:rPr>
          <w:color w:val="000000" w:themeColor="text1"/>
          <w14:textFill>
            <w14:solidFill>
              <w14:schemeClr w14:val="tx1"/>
            </w14:solidFill>
          </w14:textFill>
        </w:rPr>
      </w:r>
    </w:p>
    <w:p>
      <w:pPr>
        <w:pStyle w:val="1996"/>
        <w:numPr>
          <w:ilvl w:val="0"/>
          <w:numId w:val="37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法律、法规中规定必须抽样的；</w:t>
      </w:r>
      <w:r>
        <w:rPr>
          <w:color w:val="000000" w:themeColor="text1"/>
          <w14:textFill>
            <w14:solidFill>
              <w14:schemeClr w14:val="tx1"/>
            </w14:solidFill>
          </w14:textFill>
        </w:rPr>
      </w:r>
    </w:p>
    <w:p>
      <w:pPr>
        <w:pStyle w:val="1996"/>
        <w:numPr>
          <w:ilvl w:val="0"/>
          <w:numId w:val="37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强制性标准或产品标准中必须或要求抽样的；</w:t>
      </w:r>
      <w:r>
        <w:rPr>
          <w:color w:val="000000" w:themeColor="text1"/>
          <w14:textFill>
            <w14:solidFill>
              <w14:schemeClr w14:val="tx1"/>
            </w14:solidFill>
          </w14:textFill>
        </w:rPr>
      </w:r>
    </w:p>
    <w:p>
      <w:pPr>
        <w:pStyle w:val="1996"/>
        <w:numPr>
          <w:ilvl w:val="0"/>
          <w:numId w:val="37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对产品进行监督检查的；</w:t>
      </w:r>
      <w:r>
        <w:rPr>
          <w:color w:val="000000" w:themeColor="text1"/>
          <w14:textFill>
            <w14:solidFill>
              <w14:schemeClr w14:val="tx1"/>
            </w14:solidFill>
          </w14:textFill>
        </w:rPr>
      </w:r>
    </w:p>
    <w:p>
      <w:pPr>
        <w:pStyle w:val="1996"/>
        <w:numPr>
          <w:ilvl w:val="0"/>
          <w:numId w:val="37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批量产品的仲裁检测、委托检测的；</w:t>
      </w:r>
      <w:r>
        <w:rPr>
          <w:color w:val="000000" w:themeColor="text1"/>
          <w14:textFill>
            <w14:solidFill>
              <w14:schemeClr w14:val="tx1"/>
            </w14:solidFill>
          </w14:textFill>
        </w:rPr>
      </w:r>
    </w:p>
    <w:p>
      <w:pPr>
        <w:pStyle w:val="1996"/>
        <w:numPr>
          <w:ilvl w:val="0"/>
          <w:numId w:val="37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客户要求抽样的。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抽样计划和方法的编制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抽样计划和方法由经过授权的抽样技术人员制定，填写</w:t>
      </w:r>
      <w:r>
        <w:fldChar w:fldCharType="begin"/>
      </w:r>
      <w:r>
        <w:instrText xml:space="preserve"> HYPERLINK "https://pqsuhhq8yu6.feishu.cn/wiki/DDPlwqzILizcv4kFKyfc9AMVnZc" \h </w:instrText>
      </w:r>
      <w:r>
        <w:fldChar w:fldCharType="separate"/>
      </w:r>
      <w:r>
        <w:rPr>
          <w:color w:val="000000" w:themeColor="text1"/>
          <w14:textFill>
            <w14:solidFill>
              <w14:schemeClr w14:val="tx1"/>
            </w14:solidFill>
          </w14:textFill>
        </w:rPr>
        <w:t xml:space="preserve">ZJZ/JL25-1现场抽样单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编制的抽样方法应包括下述内容，经实验室室主任审批后实施。</w:t>
      </w:r>
      <w:r>
        <w:rPr>
          <w:color w:val="000000" w:themeColor="text1"/>
          <w14:textFill>
            <w14:solidFill>
              <w14:schemeClr w14:val="tx1"/>
            </w14:solidFill>
          </w14:textFill>
        </w:rPr>
      </w:r>
    </w:p>
    <w:p>
      <w:pPr>
        <w:pStyle w:val="1996"/>
        <w:numPr>
          <w:ilvl w:val="0"/>
          <w:numId w:val="37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抽样作业的依据；</w:t>
      </w:r>
      <w:r>
        <w:rPr>
          <w:color w:val="000000" w:themeColor="text1"/>
          <w14:textFill>
            <w14:solidFill>
              <w14:schemeClr w14:val="tx1"/>
            </w14:solidFill>
          </w14:textFill>
        </w:rPr>
      </w:r>
    </w:p>
    <w:p>
      <w:pPr>
        <w:pStyle w:val="1996"/>
        <w:numPr>
          <w:ilvl w:val="0"/>
          <w:numId w:val="37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样品或位置的选择； </w:t>
      </w:r>
      <w:r>
        <w:rPr>
          <w:color w:val="000000" w:themeColor="text1"/>
          <w14:textFill>
            <w14:solidFill>
              <w14:schemeClr w14:val="tx1"/>
            </w14:solidFill>
          </w14:textFill>
        </w:rPr>
      </w:r>
    </w:p>
    <w:p>
      <w:pPr>
        <w:pStyle w:val="1996"/>
        <w:numPr>
          <w:ilvl w:val="0"/>
          <w:numId w:val="38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抽样计划，抽样计划应基于适当的统计方法； </w:t>
      </w:r>
      <w:r>
        <w:rPr>
          <w:color w:val="000000" w:themeColor="text1"/>
          <w14:textFill>
            <w14:solidFill>
              <w14:schemeClr w14:val="tx1"/>
            </w14:solidFill>
          </w14:textFill>
        </w:rPr>
      </w:r>
    </w:p>
    <w:p>
      <w:pPr>
        <w:pStyle w:val="1996"/>
        <w:numPr>
          <w:ilvl w:val="0"/>
          <w:numId w:val="38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从物质、材料或产品中取得样品的制备和处理，保证样品的代表性、均匀性。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若委托方提供的抽样方法（或抽样通知单）满足本程序的规定，可按委托方提供的抽样方法抽样；若委托方提供的抽样方法（或抽样通知单）不满足本程序的规定，可按本程序制定抽样方法，并征得委托方的同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抽样记录与检测原始记录一起保存。这些记录应包括以下信息：</w:t>
      </w:r>
      <w:r>
        <w:rPr>
          <w:color w:val="000000" w:themeColor="text1"/>
          <w14:textFill>
            <w14:solidFill>
              <w14:schemeClr w14:val="tx1"/>
            </w14:solidFill>
          </w14:textFill>
        </w:rPr>
      </w:r>
    </w:p>
    <w:p>
      <w:pPr>
        <w:pStyle w:val="1996"/>
        <w:numPr>
          <w:ilvl w:val="0"/>
          <w:numId w:val="38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所用的抽样方法；</w:t>
      </w:r>
      <w:r>
        <w:rPr>
          <w:color w:val="000000" w:themeColor="text1"/>
          <w14:textFill>
            <w14:solidFill>
              <w14:schemeClr w14:val="tx1"/>
            </w14:solidFill>
          </w14:textFill>
        </w:rPr>
      </w:r>
    </w:p>
    <w:p>
      <w:pPr>
        <w:pStyle w:val="1996"/>
        <w:numPr>
          <w:ilvl w:val="0"/>
          <w:numId w:val="38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抽样日期、时间和地点；</w:t>
      </w:r>
      <w:r>
        <w:rPr>
          <w:color w:val="000000" w:themeColor="text1"/>
          <w14:textFill>
            <w14:solidFill>
              <w14:schemeClr w14:val="tx1"/>
            </w14:solidFill>
          </w14:textFill>
        </w:rPr>
      </w:r>
    </w:p>
    <w:p>
      <w:pPr>
        <w:pStyle w:val="1996"/>
        <w:numPr>
          <w:ilvl w:val="0"/>
          <w:numId w:val="38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识别和描述样品的数据（如编号、数量和名称）；</w:t>
      </w:r>
      <w:r>
        <w:rPr>
          <w:color w:val="000000" w:themeColor="text1"/>
          <w14:textFill>
            <w14:solidFill>
              <w14:schemeClr w14:val="tx1"/>
            </w14:solidFill>
          </w14:textFill>
        </w:rPr>
      </w:r>
    </w:p>
    <w:p>
      <w:pPr>
        <w:pStyle w:val="1996"/>
        <w:numPr>
          <w:ilvl w:val="0"/>
          <w:numId w:val="38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抽样人和被抽样单位经办人的识别；</w:t>
      </w:r>
      <w:r>
        <w:rPr>
          <w:color w:val="000000" w:themeColor="text1"/>
          <w14:textFill>
            <w14:solidFill>
              <w14:schemeClr w14:val="tx1"/>
            </w14:solidFill>
          </w14:textFill>
        </w:rPr>
      </w:r>
    </w:p>
    <w:p>
      <w:pPr>
        <w:pStyle w:val="1996"/>
        <w:numPr>
          <w:ilvl w:val="0"/>
          <w:numId w:val="38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所用设备的识别；</w:t>
      </w:r>
      <w:r>
        <w:rPr>
          <w:color w:val="000000" w:themeColor="text1"/>
          <w14:textFill>
            <w14:solidFill>
              <w14:schemeClr w14:val="tx1"/>
            </w14:solidFill>
          </w14:textFill>
        </w:rPr>
      </w:r>
    </w:p>
    <w:p>
      <w:pPr>
        <w:pStyle w:val="1996"/>
        <w:numPr>
          <w:ilvl w:val="0"/>
          <w:numId w:val="38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环境或运输条件；</w:t>
      </w:r>
      <w:r>
        <w:rPr>
          <w:color w:val="000000" w:themeColor="text1"/>
          <w14:textFill>
            <w14:solidFill>
              <w14:schemeClr w14:val="tx1"/>
            </w14:solidFill>
          </w14:textFill>
        </w:rPr>
      </w:r>
    </w:p>
    <w:p>
      <w:pPr>
        <w:pStyle w:val="1996"/>
        <w:numPr>
          <w:ilvl w:val="0"/>
          <w:numId w:val="38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适用时，标识抽样位置的图示或其他等效方式；</w:t>
      </w:r>
      <w:r>
        <w:rPr>
          <w:color w:val="000000" w:themeColor="text1"/>
          <w14:textFill>
            <w14:solidFill>
              <w14:schemeClr w14:val="tx1"/>
            </w14:solidFill>
          </w14:textFill>
        </w:rPr>
      </w:r>
    </w:p>
    <w:p>
      <w:pPr>
        <w:pStyle w:val="1996"/>
        <w:numPr>
          <w:ilvl w:val="0"/>
          <w:numId w:val="38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与抽样方法和抽样计划的偏离或增减；</w:t>
      </w:r>
      <w:r>
        <w:rPr>
          <w:color w:val="000000" w:themeColor="text1"/>
          <w14:textFill>
            <w14:solidFill>
              <w14:schemeClr w14:val="tx1"/>
            </w14:solidFill>
          </w14:textFill>
        </w:rPr>
      </w:r>
    </w:p>
    <w:p>
      <w:pPr>
        <w:pStyle w:val="1996"/>
        <w:numPr>
          <w:ilvl w:val="0"/>
          <w:numId w:val="39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抽样对象的质量特性、分类、质量水平、检验等级等。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抽样作业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抽样应两人同时参加，并准备好抽样所需的抽样计划和方法、工作证件、介绍信、抽样工具、包装容器等。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到达抽样地点应主动向受检单位出示有关文件、证件，说明来意，提出协作事项，然后按照抽样计划抽取样品，填写</w:t>
      </w:r>
      <w:r>
        <w:fldChar w:fldCharType="begin"/>
      </w:r>
      <w:r>
        <w:instrText xml:space="preserve"> HYPERLINK "https://pqsuhhq8yu6.feishu.cn/wiki/DDPlwqzILizcv4kFKyfc9AMVnZc" \h </w:instrText>
      </w:r>
      <w:r>
        <w:fldChar w:fldCharType="separate"/>
      </w:r>
      <w:r>
        <w:rPr>
          <w:color w:val="000000" w:themeColor="text1"/>
          <w14:textFill>
            <w14:solidFill>
              <w14:schemeClr w14:val="tx1"/>
            </w14:solidFill>
          </w14:textFill>
        </w:rPr>
        <w:t xml:space="preserve">ZJZ/JL25-1现场抽样单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。抽样记录不可缺项，无内容项应划</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，填写栏目未能包括的内容写在备注栏。抽样过程全程录像，影像资料保存期不少于90天。</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现场抽样，样品应包装良好，必要时请生产单位对该抽样样品进行确认。样品抽取后应妥善包装，牢固粘贴标识，必要时加贴封条，并确认样品不可调换。</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一般样品应由抽样人带回，交样品管理员接收登记。由当地技术监督部门代抽的样品，应严格验收其完整性及其备样的符合性，确认无误后，方可接收。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4.4.5 抽样过程中，遇到意外情况应及时向实验室室主任汇报，以便研究处理。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4.4.6 当客户对抽样计划有修改，添加或删节要求时，在抽样单上应详细记录这些要求，并告之相关人员。在确认其要求不会影响样品的代表性和检验检测结果有效性的前提下，</w:t>
      </w:r>
      <w:r>
        <w:rPr>
          <w:rFonts w:hint="eastAsia"/>
          <w:color w:val="000000" w:themeColor="text1"/>
          <w14:textFill>
            <w14:solidFill>
              <w14:schemeClr w14:val="tx1"/>
            </w14:solidFill>
          </w14:textFill>
        </w:rPr>
        <w:t xml:space="preserve">技术负责人</w:t>
      </w:r>
      <w:r>
        <w:rPr>
          <w:color w:val="000000" w:themeColor="text1"/>
          <w14:textFill>
            <w14:solidFill>
              <w14:schemeClr w14:val="tx1"/>
            </w14:solidFill>
          </w14:textFill>
        </w:rPr>
        <w:t xml:space="preserve">重新审批抽样计划，双方达成一致后，方可按客户的要求进行抽样，其所有变化应在记录及报告中反映。如果客户的要求影响到检验检测结果，上报技术负责人与客户协商处理。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4.4.7 抽样人员必须工作认真，遵纪守法，坚持公正立场，严格执行</w:t>
      </w:r>
      <w:r>
        <w:fldChar w:fldCharType="begin"/>
      </w:r>
      <w:r>
        <w:instrText xml:space="preserve"> HYPERLINK "https://pqsuhhq8yu6.feishu.cn/wiki/FYY4wWzRWiy0VUkla72cfh4ynPf" \h </w:instrText>
      </w:r>
      <w:r>
        <w:fldChar w:fldCharType="separate"/>
      </w:r>
      <w:r>
        <w:rPr>
          <w:color w:val="000000" w:themeColor="text1"/>
          <w14:textFill>
            <w14:solidFill>
              <w14:schemeClr w14:val="tx1"/>
            </w14:solidFill>
          </w14:textFill>
        </w:rPr>
        <w:t xml:space="preserve">ZJZ/CX-2 保护客户秘密和所有权程序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"https://pqsuhhq8yu6.feishu.cn/wiki/FYY4wWzRWiy0VUkla72cfh4ynPf" \h </w:instrText>
      </w:r>
      <w:r>
        <w:fldChar w:fldCharType="separate"/>
      </w:r>
      <w:r>
        <w:rPr>
          <w:color w:val="000000" w:themeColor="text1"/>
          <w14:textFill>
            <w14:solidFill>
              <w14:schemeClr w14:val="tx1"/>
            </w14:solidFill>
          </w14:textFill>
        </w:rPr>
        <w:t xml:space="preserve">ZJZ/CX-2 保护客户秘密和所有权程序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"https://pqsuhhq8yu6.feishu.cn/wiki/DDPlwqzILizcv4kFKyfc9AMVnZc" \h </w:instrText>
      </w:r>
      <w:r>
        <w:fldChar w:fldCharType="separate"/>
      </w:r>
      <w:r>
        <w:rPr>
          <w:color w:val="000000" w:themeColor="text1"/>
          <w14:textFill>
            <w14:solidFill>
              <w14:schemeClr w14:val="tx1"/>
            </w14:solidFill>
          </w14:textFill>
        </w:rPr>
        <w:t xml:space="preserve">ZJZ/JL25-1现场抽样单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ZJZ/JL 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"https://pqsuhhq8yu6.feishu.cn/wiki/Nh1Ow6G3mipJHJkQk3GcA3eFnve" \h </w:instrText>
      </w:r>
      <w:r>
        <w:fldChar w:fldCharType="separate"/>
      </w:r>
      <w:r>
        <w:rPr>
          <w:color w:val="000000" w:themeColor="text1"/>
          <w14:textFill>
            <w14:solidFill>
              <w14:schemeClr w14:val="tx1"/>
            </w14:solidFill>
          </w14:textFill>
        </w:rPr>
        <w:t xml:space="preserve">ZJZ/JL 26-1生产任务单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49" w:name="_Toc21287"/>
      <w:r>
        <w:rPr>
          <w:color w:val="000000" w:themeColor="text1"/>
          <w14:textFill>
            <w14:solidFill>
              <w14:schemeClr w14:val="tx1"/>
            </w14:solidFill>
          </w14:textFill>
        </w:rPr>
        <w:t xml:space="preserve">ZJZ/CX-26 样品管理程序</w:t>
      </w:r>
      <w:bookmarkEnd w:id="49"/>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为了对样品的接收、流转、贮存、处置以及样品的识别等各个环节实施有效的控制，保证检测样品的代表性、有效性和完整性，确保样品满足检验检测要求，并为客户保密，特制定本程序。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本程序适用于本站实验室各类检测样品的接收、流转、贮存、处置等管理。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样品管理员：负责样品的收发、标识、符合性检查、加密、分发、贮存、移交等，负责根据样品标识，下达检测任务，负责检测备样的保管和处置。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检验检测人员：负责样品检验检测以及在检验检测过程中样品的识别、传递、制备、处置等。</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样品的接收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检验检测样品由样品管理员统一接收，任何人不得直接对外承接检验检测样品。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样品管理员应在送样人在场的情况下，一同对样品进行以下符合性检查，并如实填写</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Style w:val="1996"/>
        <w:numPr>
          <w:ilvl w:val="0"/>
          <w:numId w:val="39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样品包装、标志及外观是否完好； </w:t>
      </w:r>
      <w:r>
        <w:rPr>
          <w:color w:val="000000" w:themeColor="text1"/>
          <w14:textFill>
            <w14:solidFill>
              <w14:schemeClr w14:val="tx1"/>
            </w14:solidFill>
          </w14:textFill>
        </w:rPr>
      </w:r>
    </w:p>
    <w:p>
      <w:pPr>
        <w:pStyle w:val="1996"/>
        <w:numPr>
          <w:ilvl w:val="0"/>
          <w:numId w:val="39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对照</w:t>
      </w:r>
      <w:r>
        <w:rPr>
          <w:color w:val="000000" w:themeColor="text1"/>
          <w:highlight w:val="yellow"/>
          <w14:textFill>
            <w14:solidFill>
              <w14:schemeClr w14:val="tx1"/>
            </w14:solidFill>
          </w14:textFill>
        </w:rPr>
        <w:t xml:space="preserve">任务委托单</w:t>
      </w:r>
      <w:r>
        <w:rPr>
          <w:color w:val="000000" w:themeColor="text1"/>
          <w14:textFill>
            <w14:solidFill>
              <w14:schemeClr w14:val="tx1"/>
            </w14:solidFill>
          </w14:textFill>
        </w:rPr>
        <w:t xml:space="preserve">等检查样品的名称、样品数量、外观状态等内容是否一致；</w:t>
      </w:r>
      <w:r>
        <w:rPr>
          <w:color w:val="000000" w:themeColor="text1"/>
          <w14:textFill>
            <w14:solidFill>
              <w14:schemeClr w14:val="tx1"/>
            </w14:solidFill>
          </w14:textFill>
        </w:rPr>
      </w:r>
    </w:p>
    <w:p>
      <w:pPr>
        <w:pStyle w:val="1996"/>
        <w:numPr>
          <w:ilvl w:val="0"/>
          <w:numId w:val="39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样品是否损坏。若检验检测样品有异常，或对检验检测方法规定的条件有所偏离时，样品管理员应如实反映情况。当对样品是否适合检验检测有疑问时，应及时向委托方或送样人员询问，要求进一步说明，并由委托方或质量负责人提出处理意见。样品管理员应在</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ZJZ/JL 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记录有关说明及处理意见。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样品符合性检查后，样品管理员应作好样品登记，确定样品唯一性编号，并将样品标识固定在样品上。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特殊样品应检查使用的包装或容器是否可能造成样品的特性变异，同时应与客户商定测后样品的处理方式。在接收样品时，应记录异常情况。</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当对样品是否满足检测要求有疑问时，或对样品与所提供的清单不符合时，应及时询问客户，得到进一步的说明并记录讨论内容，如遇到专业业务方面的问题应及时和实验室室主任、技术负责人联系并妥善解决，并将特殊情况如实填写</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样品的标识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样品标识由样品唯一性编号和样品测试状态标识组成，并在检验检测整个期间保留该标识。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样品标识的编号规则如下：</w:t>
      </w:r>
      <w:r>
        <w:rPr>
          <w:color w:val="000000" w:themeColor="text1"/>
          <w14:textFill>
            <w14:solidFill>
              <w14:schemeClr w14:val="tx1"/>
            </w14:solidFill>
          </w14:textFill>
        </w:rPr>
      </w:r>
    </w:p>
    <w:p>
      <w:pPr>
        <w:pStyle w:val="1996"/>
        <w:numPr>
          <w:ilvl w:val="0"/>
          <w:numId w:val="39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环境监测样品编号由 </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XXXX（年代号）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XXX（项目编号）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XXXXX（顺序号）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 ，例如：202421000001。</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环境监测实验室项目编号：201-作业废水，202-生活污水，203-地表水，204-地下水，205-环境空气及无组织排放，206-废气，207-噪声，208-含油污泥，209-泥浆固化，210-随钻不落地，211-土壤，212-磺前废水，106-回注水。</w:t>
      </w:r>
      <w:r>
        <w:rPr>
          <w:color w:val="000000" w:themeColor="text1"/>
          <w14:textFill>
            <w14:solidFill>
              <w14:schemeClr w14:val="tx1"/>
            </w14:solidFill>
          </w14:textFill>
        </w:rPr>
      </w:r>
    </w:p>
    <w:p>
      <w:pPr>
        <w:pStyle w:val="1996"/>
        <w:numPr>
          <w:ilvl w:val="0"/>
          <w:numId w:val="39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油田化学实验室样品编号由</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XXXX（年代号）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XXX（项目编号）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XXXXX（顺序号）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，例如：202010100001。</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油田化学实验室项目编号：101-钻井液，102-固井，103-酸压，104-防腐，105-其他。</w:t>
      </w:r>
      <w:r>
        <w:rPr>
          <w:color w:val="000000" w:themeColor="text1"/>
          <w14:textFill>
            <w14:solidFill>
              <w14:schemeClr w14:val="tx1"/>
            </w14:solidFill>
          </w14:textFill>
        </w:rPr>
      </w:r>
    </w:p>
    <w:p>
      <w:pPr>
        <w:pStyle w:val="1996"/>
        <w:numPr>
          <w:ilvl w:val="0"/>
          <w:numId w:val="39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油气产品室样品编号规则由</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XXXX（年代号）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XXX（项目编号）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XXXXX（顺序号）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 ，例如：202031000001。</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油气产品实验室项目编号：                                          </w:t>
      </w:r>
      <w:r>
        <w:rPr>
          <w:color w:val="000000" w:themeColor="text1"/>
          <w14:textFill>
            <w14:solidFill>
              <w14:schemeClr w14:val="tx1"/>
            </w14:solidFill>
          </w14:textFill>
        </w:rPr>
      </w:r>
    </w:p>
    <w:p>
      <w:pPr>
        <w:pStyle w:val="1996"/>
        <w:numPr>
          <w:ilvl w:val="0"/>
          <w:numId w:val="39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原油项目号：310-原油，311-原油含水，312-原油有机氯，313-原油密度，314-原油酸值，315-原油机械杂质，316-原油含盐，317-交接温度下的蒸汽压，318-原油基属。</w:t>
      </w:r>
      <w:r>
        <w:rPr>
          <w:color w:val="000000" w:themeColor="text1"/>
          <w14:textFill>
            <w14:solidFill>
              <w14:schemeClr w14:val="tx1"/>
            </w14:solidFill>
          </w14:textFill>
        </w:rPr>
      </w:r>
    </w:p>
    <w:p>
      <w:pPr>
        <w:pStyle w:val="1996"/>
        <w:numPr>
          <w:ilvl w:val="0"/>
          <w:numId w:val="39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天然气项目号：320-天然气，321-天然气（长输管道），322-天然气组成，323- 硫化氢， 324-水露点，</w:t>
      </w:r>
      <w:r>
        <w:rPr>
          <w:rFonts w:hint="eastAsia"/>
          <w:color w:val="000000" w:themeColor="text1"/>
          <w:highlight w:val="yellow"/>
          <w14:textFill>
            <w14:solidFill>
              <w14:schemeClr w14:val="tx1"/>
            </w14:solidFill>
          </w14:textFill>
        </w:rPr>
        <w:t xml:space="preserve">3</w:t>
      </w:r>
      <w:r>
        <w:rPr>
          <w:color w:val="000000" w:themeColor="text1"/>
          <w:highlight w:val="yellow"/>
          <w14:textFill>
            <w14:solidFill>
              <w14:schemeClr w14:val="tx1"/>
            </w14:solidFill>
          </w14:textFill>
        </w:rPr>
        <w:t xml:space="preserve">25</w:t>
      </w:r>
      <w:r>
        <w:rPr>
          <w:rFonts w:hint="eastAsia"/>
          <w:color w:val="000000" w:themeColor="text1"/>
          <w:highlight w:val="yellow"/>
          <w14:textFill>
            <w14:solidFill>
              <w14:schemeClr w14:val="tx1"/>
            </w14:solidFill>
          </w14:textFill>
        </w:rPr>
        <w:t xml:space="preserve">-酸性气报告</w:t>
      </w:r>
      <w:r>
        <w:rPr>
          <w:rFonts w:hint="eastAsia"/>
          <w:color w:val="000000" w:themeColor="text1"/>
          <w14:textFill>
            <w14:solidFill>
              <w14:schemeClr w14:val="tx1"/>
            </w14:solidFill>
          </w14:textFill>
        </w:rPr>
        <w:t xml:space="preserve">，</w:t>
      </w:r>
      <w:r>
        <w:rPr>
          <w:color w:val="000000" w:themeColor="text1"/>
          <w14:textFill>
            <w14:solidFill>
              <w14:schemeClr w14:val="tx1"/>
            </w14:solidFill>
          </w14:textFill>
        </w:rPr>
        <w:t xml:space="preserve">326-总硫含量，327-烃露点</w:t>
      </w:r>
      <w:r>
        <w:rPr>
          <w:rFonts w:hint="eastAsia"/>
          <w:color w:val="000000" w:themeColor="text1"/>
          <w14:textFill>
            <w14:solidFill>
              <w14:schemeClr w14:val="tx1"/>
            </w14:solidFill>
          </w14:textFill>
        </w:rPr>
        <w:t xml:space="preserve">，</w:t>
      </w:r>
      <w:r>
        <w:rPr>
          <w:rFonts w:hint="eastAsia"/>
          <w:color w:val="000000" w:themeColor="text1"/>
          <w:highlight w:val="yellow"/>
          <w14:textFill>
            <w14:solidFill>
              <w14:schemeClr w14:val="tx1"/>
            </w14:solidFill>
          </w14:textFill>
        </w:rPr>
        <w:t xml:space="preserve">3</w:t>
      </w:r>
      <w:r>
        <w:rPr>
          <w:color w:val="000000" w:themeColor="text1"/>
          <w:highlight w:val="yellow"/>
          <w14:textFill>
            <w14:solidFill>
              <w14:schemeClr w14:val="tx1"/>
            </w14:solidFill>
          </w14:textFill>
        </w:rPr>
        <w:t xml:space="preserve">28</w:t>
      </w:r>
      <w:r>
        <w:rPr>
          <w:rFonts w:hint="eastAsia"/>
          <w:color w:val="000000" w:themeColor="text1"/>
          <w:highlight w:val="yellow"/>
          <w14:textFill>
            <w14:solidFill>
              <w14:schemeClr w14:val="tx1"/>
            </w14:solidFill>
          </w14:textFill>
        </w:rPr>
        <w:t xml:space="preserve">-天然气汞含量</w:t>
      </w:r>
      <w:r>
        <w:rPr>
          <w:color w:val="000000" w:themeColor="text1"/>
          <w14:textFill>
            <w14:solidFill>
              <w14:schemeClr w14:val="tx1"/>
            </w14:solidFill>
          </w14:textFill>
        </w:rPr>
        <w:t xml:space="preserve">。</w:t>
      </w:r>
      <w:r>
        <w:rPr>
          <w:rFonts w:hint="eastAsia"/>
          <w:color w:val="000000" w:themeColor="text1"/>
          <w:highlight w:val="yellow"/>
          <w14:textFill>
            <w14:solidFill>
              <w14:schemeClr w14:val="tx1"/>
            </w14:solidFill>
          </w14:textFill>
        </w:rPr>
        <w:t xml:space="preserve">3</w:t>
      </w:r>
      <w:r>
        <w:rPr>
          <w:color w:val="000000" w:themeColor="text1"/>
          <w:highlight w:val="yellow"/>
          <w14:textFill>
            <w14:solidFill>
              <w14:schemeClr w14:val="tx1"/>
            </w14:solidFill>
          </w14:textFill>
        </w:rPr>
        <w:t xml:space="preserve">61</w:t>
      </w:r>
      <w:r>
        <w:rPr>
          <w:rFonts w:hint="eastAsia"/>
          <w:color w:val="000000" w:themeColor="text1"/>
          <w:highlight w:val="yellow"/>
          <w14:textFill>
            <w14:solidFill>
              <w14:schemeClr w14:val="tx1"/>
            </w14:solidFill>
          </w14:textFill>
        </w:rPr>
        <w:t xml:space="preserve">-液化天然气，3</w:t>
      </w:r>
      <w:r>
        <w:rPr>
          <w:color w:val="000000" w:themeColor="text1"/>
          <w:highlight w:val="yellow"/>
          <w14:textFill>
            <w14:solidFill>
              <w14:schemeClr w14:val="tx1"/>
            </w14:solidFill>
          </w14:textFill>
        </w:rPr>
        <w:t xml:space="preserve">62</w:t>
      </w:r>
      <w:r>
        <w:rPr>
          <w:rFonts w:hint="eastAsia"/>
          <w:color w:val="000000" w:themeColor="text1"/>
          <w:highlight w:val="yellow"/>
          <w14:textFill>
            <w14:solidFill>
              <w14:schemeClr w14:val="tx1"/>
            </w14:solidFill>
          </w14:textFill>
        </w:rPr>
        <w:t xml:space="preserve">-车用压缩天然气</w:t>
      </w:r>
      <w:r>
        <w:rPr>
          <w:color w:val="000000" w:themeColor="text1"/>
          <w14:textFill>
            <w14:solidFill>
              <w14:schemeClr w14:val="tx1"/>
            </w14:solidFill>
          </w14:textFill>
        </w:rPr>
      </w:r>
    </w:p>
    <w:p>
      <w:pPr>
        <w:pStyle w:val="1996"/>
        <w:numPr>
          <w:ilvl w:val="0"/>
          <w:numId w:val="39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液化石油气项目号：330-液化石油气，331-液化石油气总硫，332-液化石油气总硫（认证）。</w:t>
      </w:r>
      <w:r>
        <w:rPr>
          <w:color w:val="000000" w:themeColor="text1"/>
          <w14:textFill>
            <w14:solidFill>
              <w14:schemeClr w14:val="tx1"/>
            </w14:solidFill>
          </w14:textFill>
        </w:rPr>
      </w:r>
    </w:p>
    <w:p>
      <w:pPr>
        <w:pStyle w:val="1996"/>
        <w:numPr>
          <w:ilvl w:val="0"/>
          <w:numId w:val="400"/>
        </w:numPr>
        <w:pBdr/>
        <w:spacing/>
        <w:ind/>
        <w:rPr>
          <w:color w:val="000000" w:themeColor="text1"/>
          <w:highlight w:val="yellow"/>
          <w14:textFill>
            <w14:solidFill>
              <w14:schemeClr w14:val="tx1"/>
            </w14:solidFill>
          </w14:textFill>
        </w:rPr>
      </w:pPr>
      <w:r>
        <w:rPr>
          <w:color w:val="000000" w:themeColor="text1"/>
          <w14:textFill>
            <w14:solidFill>
              <w14:schemeClr w14:val="tx1"/>
            </w14:solidFill>
          </w14:textFill>
        </w:rPr>
        <w:t xml:space="preserve">稳定轻烃项目号：340—稳定轻烃</w:t>
      </w:r>
      <w:r>
        <w:rPr>
          <w:rFonts w:hint="eastAsia"/>
          <w:color w:val="000000" w:themeColor="text1"/>
          <w14:textFill>
            <w14:solidFill>
              <w14:schemeClr w14:val="tx1"/>
            </w14:solidFill>
          </w14:textFill>
        </w:rPr>
        <w:t xml:space="preserve">，</w:t>
      </w:r>
      <w:r>
        <w:rPr>
          <w:color w:val="000000" w:themeColor="text1"/>
          <w14:textFill>
            <w14:solidFill>
              <w14:schemeClr w14:val="tx1"/>
            </w14:solidFill>
          </w14:textFill>
        </w:rPr>
        <w:t xml:space="preserve">341-硫含量</w:t>
      </w:r>
      <w:r>
        <w:rPr>
          <w:rFonts w:hint="eastAsia"/>
          <w:color w:val="000000" w:themeColor="text1"/>
          <w14:textFill>
            <w14:solidFill>
              <w14:schemeClr w14:val="tx1"/>
            </w14:solidFill>
          </w14:textFill>
        </w:rPr>
        <w:t xml:space="preserve">，</w:t>
      </w:r>
      <w:r>
        <w:rPr>
          <w:rFonts w:hint="eastAsia"/>
          <w:color w:val="000000" w:themeColor="text1"/>
          <w:highlight w:val="yellow"/>
          <w14:textFill>
            <w14:solidFill>
              <w14:schemeClr w14:val="tx1"/>
            </w14:solidFill>
          </w14:textFill>
        </w:rPr>
        <w:t xml:space="preserve">3</w:t>
      </w:r>
      <w:r>
        <w:rPr>
          <w:color w:val="000000" w:themeColor="text1"/>
          <w:highlight w:val="yellow"/>
          <w14:textFill>
            <w14:solidFill>
              <w14:schemeClr w14:val="tx1"/>
            </w14:solidFill>
          </w14:textFill>
        </w:rPr>
        <w:t xml:space="preserve">42</w:t>
      </w:r>
      <w:r>
        <w:rPr>
          <w:rFonts w:hint="eastAsia"/>
          <w:color w:val="000000" w:themeColor="text1"/>
          <w:highlight w:val="yellow"/>
          <w14:textFill>
            <w14:solidFill>
              <w14:schemeClr w14:val="tx1"/>
            </w14:solidFill>
          </w14:textFill>
        </w:rPr>
        <w:t xml:space="preserve">-混合轻烃检测，3</w:t>
      </w:r>
      <w:r>
        <w:rPr>
          <w:color w:val="000000" w:themeColor="text1"/>
          <w:highlight w:val="yellow"/>
          <w14:textFill>
            <w14:solidFill>
              <w14:schemeClr w14:val="tx1"/>
            </w14:solidFill>
          </w14:textFill>
        </w:rPr>
        <w:t xml:space="preserve">43</w:t>
      </w:r>
      <w:r>
        <w:rPr>
          <w:rFonts w:hint="eastAsia"/>
          <w:color w:val="000000" w:themeColor="text1"/>
          <w:highlight w:val="yellow"/>
          <w14:textFill>
            <w14:solidFill>
              <w14:schemeClr w14:val="tx1"/>
            </w14:solidFill>
          </w14:textFill>
        </w:rPr>
        <w:t xml:space="preserve">-油气田混合轻烃</w:t>
      </w:r>
      <w:r>
        <w:rPr>
          <w:color w:val="000000" w:themeColor="text1"/>
          <w:highlight w:val="yellow"/>
          <w14:textFill>
            <w14:solidFill>
              <w14:schemeClr w14:val="tx1"/>
            </w14:solidFill>
          </w14:textFill>
        </w:rPr>
      </w:r>
    </w:p>
    <w:p>
      <w:pPr>
        <w:pStyle w:val="1996"/>
        <w:numPr>
          <w:ilvl w:val="0"/>
          <w:numId w:val="40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原油常规项目号：350-原油分析，352-原油族组分，353原油粘温曲线，354-原油硫化氢，355-原油析蜡点</w:t>
      </w:r>
      <w:r>
        <w:rPr>
          <w:rFonts w:hint="eastAsia"/>
          <w:color w:val="000000" w:themeColor="text1"/>
          <w14:textFill>
            <w14:solidFill>
              <w14:schemeClr w14:val="tx1"/>
            </w14:solidFill>
          </w14:textFill>
        </w:rPr>
        <w:t xml:space="preserve">，</w:t>
      </w:r>
      <w:r>
        <w:rPr>
          <w:rFonts w:hint="eastAsia"/>
          <w:color w:val="000000" w:themeColor="text1"/>
          <w:highlight w:val="yellow"/>
          <w14:textFill>
            <w14:solidFill>
              <w14:schemeClr w14:val="tx1"/>
            </w14:solidFill>
          </w14:textFill>
        </w:rPr>
        <w:t xml:space="preserve">3</w:t>
      </w:r>
      <w:r>
        <w:rPr>
          <w:color w:val="000000" w:themeColor="text1"/>
          <w:highlight w:val="yellow"/>
          <w14:textFill>
            <w14:solidFill>
              <w14:schemeClr w14:val="tx1"/>
            </w14:solidFill>
          </w14:textFill>
        </w:rPr>
        <w:t xml:space="preserve">56</w:t>
      </w:r>
      <w:r>
        <w:rPr>
          <w:rFonts w:hint="eastAsia"/>
          <w:color w:val="000000" w:themeColor="text1"/>
          <w:highlight w:val="yellow"/>
          <w14:textFill>
            <w14:solidFill>
              <w14:schemeClr w14:val="tx1"/>
            </w14:solidFill>
          </w14:textFill>
        </w:rPr>
        <w:t xml:space="preserve">-原油馏分，3</w:t>
      </w:r>
      <w:r>
        <w:rPr>
          <w:color w:val="000000" w:themeColor="text1"/>
          <w:highlight w:val="yellow"/>
          <w14:textFill>
            <w14:solidFill>
              <w14:schemeClr w14:val="tx1"/>
            </w14:solidFill>
          </w14:textFill>
        </w:rPr>
        <w:t xml:space="preserve">57</w:t>
      </w:r>
      <w:r>
        <w:rPr>
          <w:rFonts w:hint="eastAsia"/>
          <w:color w:val="000000" w:themeColor="text1"/>
          <w:highlight w:val="yellow"/>
          <w14:textFill>
            <w14:solidFill>
              <w14:schemeClr w14:val="tx1"/>
            </w14:solidFill>
          </w14:textFill>
        </w:rPr>
        <w:t xml:space="preserve">-原油全烃组分分析</w:t>
      </w:r>
      <w:r>
        <w:rPr>
          <w:color w:val="000000" w:themeColor="text1"/>
          <w:highlight w:val="yellow"/>
          <w14:textFill>
            <w14:solidFill>
              <w14:schemeClr w14:val="tx1"/>
            </w14:solidFill>
          </w14:textFill>
        </w:rPr>
        <w:t xml:space="preserve">。</w:t>
      </w:r>
      <w:r>
        <w:rPr>
          <w:color w:val="000000" w:themeColor="text1"/>
          <w14:textFill>
            <w14:solidFill>
              <w14:schemeClr w14:val="tx1"/>
            </w14:solidFill>
          </w14:textFill>
        </w:rPr>
      </w:r>
    </w:p>
    <w:p>
      <w:pPr>
        <w:pStyle w:val="1996"/>
        <w:numPr>
          <w:ilvl w:val="0"/>
          <w:numId w:val="40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油田水项目号：360-油田水分析</w:t>
      </w:r>
      <w:r>
        <w:rPr>
          <w:color w:val="000000" w:themeColor="text1"/>
          <w14:textFill>
            <w14:solidFill>
              <w14:schemeClr w14:val="tx1"/>
            </w14:solidFill>
          </w14:textFill>
        </w:rPr>
      </w:r>
    </w:p>
    <w:p>
      <w:pPr>
        <w:pStyle w:val="1996"/>
        <w:numPr>
          <w:ilvl w:val="0"/>
          <w:numId w:val="403"/>
        </w:numPr>
        <w:pBdr/>
        <w:spacing/>
        <w:ind/>
        <w:rPr>
          <w:color w:val="000000" w:themeColor="text1"/>
          <w:highlight w:val="yellow"/>
          <w14:textFill>
            <w14:solidFill>
              <w14:schemeClr w14:val="tx1"/>
            </w14:solidFill>
          </w14:textFill>
        </w:rPr>
      </w:pPr>
      <w:r>
        <w:rPr>
          <w:color w:val="000000" w:themeColor="text1"/>
          <w14:textFill>
            <w14:solidFill>
              <w14:schemeClr w14:val="tx1"/>
            </w14:solidFill>
          </w14:textFill>
        </w:rPr>
        <w:t xml:space="preserve">润滑油：项目号：370-柴油机油，371-工业闭齿轮油，372-涡轮机油，373-液压油，374-有机热载体，</w:t>
      </w:r>
      <w:r>
        <w:rPr>
          <w:color w:val="000000" w:themeColor="text1"/>
          <w:highlight w:val="yellow"/>
          <w14:textFill>
            <w14:solidFill>
              <w14:schemeClr w14:val="tx1"/>
            </w14:solidFill>
          </w14:textFill>
        </w:rPr>
        <w:t xml:space="preserve">375-</w:t>
      </w:r>
      <w:r>
        <w:rPr>
          <w:rFonts w:hint="eastAsia"/>
          <w:color w:val="000000" w:themeColor="text1"/>
          <w:highlight w:val="yellow"/>
          <w14:textFill>
            <w14:solidFill>
              <w14:schemeClr w14:val="tx1"/>
            </w14:solidFill>
          </w14:textFill>
        </w:rPr>
        <w:t xml:space="preserve">变压器油检测报告（再用油）</w:t>
      </w:r>
      <w:r>
        <w:rPr>
          <w:color w:val="000000" w:themeColor="text1"/>
          <w:highlight w:val="yellow"/>
          <w14:textFill>
            <w14:solidFill>
              <w14:schemeClr w14:val="tx1"/>
            </w14:solidFill>
          </w14:textFill>
        </w:rPr>
        <w:t xml:space="preserve">，376-</w:t>
      </w:r>
      <w:r>
        <w:rPr>
          <w:rFonts w:hint="eastAsia"/>
          <w:color w:val="000000" w:themeColor="text1"/>
          <w:highlight w:val="yellow"/>
          <w14:textFill>
            <w14:solidFill>
              <w14:schemeClr w14:val="tx1"/>
            </w14:solidFill>
          </w14:textFill>
        </w:rPr>
        <w:t xml:space="preserve">变压器油溶解气体含量（再用油）</w:t>
      </w:r>
      <w:r>
        <w:rPr>
          <w:color w:val="000000" w:themeColor="text1"/>
          <w:highlight w:val="yellow"/>
          <w14:textFill>
            <w14:solidFill>
              <w14:schemeClr w14:val="tx1"/>
            </w14:solidFill>
          </w14:textFill>
        </w:rPr>
        <w:t xml:space="preserve">，377-汽油机油，379-冷冻机油，380-油膜轴承油</w:t>
      </w:r>
      <w:r>
        <w:rPr>
          <w:rFonts w:hint="eastAsia"/>
          <w:color w:val="000000" w:themeColor="text1"/>
          <w:highlight w:val="yellow"/>
          <w14:textFill>
            <w14:solidFill>
              <w14:schemeClr w14:val="tx1"/>
            </w14:solidFill>
          </w14:textFill>
        </w:rPr>
        <w:t xml:space="preserve">，381-10号航空液压油，382-变压器油检测报告（新油），383-变压器溶解气体含量（新油），3</w:t>
      </w:r>
      <w:r>
        <w:rPr>
          <w:color w:val="000000" w:themeColor="text1"/>
          <w:highlight w:val="yellow"/>
          <w14:textFill>
            <w14:solidFill>
              <w14:schemeClr w14:val="tx1"/>
            </w14:solidFill>
          </w14:textFill>
        </w:rPr>
        <w:t xml:space="preserve">84-</w:t>
      </w:r>
      <w:r>
        <w:rPr>
          <w:rFonts w:hint="eastAsia"/>
          <w:color w:val="000000" w:themeColor="text1"/>
          <w:highlight w:val="yellow"/>
          <w14:textFill>
            <w14:solidFill>
              <w14:schemeClr w14:val="tx1"/>
            </w14:solidFill>
          </w14:textFill>
        </w:rPr>
        <w:t xml:space="preserve">冷却液，386-空气压缩机油</w:t>
      </w:r>
      <w:r>
        <w:rPr>
          <w:color w:val="000000" w:themeColor="text1"/>
          <w:highlight w:val="yellow"/>
          <w14:textFill>
            <w14:solidFill>
              <w14:schemeClr w14:val="tx1"/>
            </w14:solidFill>
          </w14:textFill>
        </w:rPr>
        <w:t xml:space="preserve">。</w:t>
      </w:r>
      <w:r>
        <w:rPr>
          <w:color w:val="000000" w:themeColor="text1"/>
          <w:highlight w:val="yellow"/>
          <w14:textFill>
            <w14:solidFill>
              <w14:schemeClr w14:val="tx1"/>
            </w14:solidFill>
          </w14:textFill>
        </w:rPr>
      </w:r>
    </w:p>
    <w:p>
      <w:pPr>
        <w:pStyle w:val="1996"/>
        <w:numPr>
          <w:ilvl w:val="0"/>
          <w:numId w:val="404"/>
        </w:numPr>
        <w:pBdr/>
        <w:spacing/>
        <w:ind/>
        <w:rPr>
          <w:color w:val="000000" w:themeColor="text1"/>
          <w:highlight w:val="yellow"/>
          <w14:textFill>
            <w14:solidFill>
              <w14:schemeClr w14:val="tx1"/>
            </w14:solidFill>
          </w14:textFill>
        </w:rPr>
      </w:pPr>
      <w:r>
        <w:rPr>
          <w:color w:val="000000" w:themeColor="text1"/>
          <w14:textFill>
            <w14:solidFill>
              <w14:schemeClr w14:val="tx1"/>
            </w14:solidFill>
          </w14:textFill>
        </w:rPr>
        <w:t xml:space="preserve">油田化学助剂：项目号：391-助剂有机氯，392-工业硫磺，</w:t>
      </w:r>
      <w:r>
        <w:rPr>
          <w:color w:val="000000" w:themeColor="text1"/>
          <w:highlight w:val="yellow"/>
          <w14:textFill>
            <w14:solidFill>
              <w14:schemeClr w14:val="tx1"/>
            </w14:solidFill>
          </w14:textFill>
        </w:rPr>
        <w:t xml:space="preserve">385-</w:t>
      </w:r>
      <w:r>
        <w:rPr>
          <w:rFonts w:hint="eastAsia"/>
          <w:color w:val="000000" w:themeColor="text1"/>
          <w:highlight w:val="yellow"/>
          <w14:textFill>
            <w14:solidFill>
              <w14:schemeClr w14:val="tx1"/>
            </w14:solidFill>
          </w14:textFill>
        </w:rPr>
        <w:t xml:space="preserve">化学药剂</w:t>
      </w:r>
      <w:r>
        <w:rPr>
          <w:color w:val="000000" w:themeColor="text1"/>
          <w:highlight w:val="yellow"/>
          <w14:textFill>
            <w14:solidFill>
              <w14:schemeClr w14:val="tx1"/>
            </w14:solidFill>
          </w14:textFill>
        </w:rPr>
        <w:t xml:space="preserve">评价</w:t>
      </w:r>
      <w:r>
        <w:rPr>
          <w:rFonts w:hint="eastAsia"/>
          <w:color w:val="000000" w:themeColor="text1"/>
          <w:highlight w:val="yellow"/>
          <w14:textFill>
            <w14:solidFill>
              <w14:schemeClr w14:val="tx1"/>
            </w14:solidFill>
          </w14:textFill>
        </w:rPr>
        <w:t xml:space="preserve">，3</w:t>
      </w:r>
      <w:r>
        <w:rPr>
          <w:color w:val="000000" w:themeColor="text1"/>
          <w:highlight w:val="yellow"/>
          <w14:textFill>
            <w14:solidFill>
              <w14:schemeClr w14:val="tx1"/>
            </w14:solidFill>
          </w14:textFill>
        </w:rPr>
        <w:t xml:space="preserve">93</w:t>
      </w:r>
      <w:r>
        <w:rPr>
          <w:rFonts w:hint="eastAsia"/>
          <w:color w:val="000000" w:themeColor="text1"/>
          <w:highlight w:val="yellow"/>
          <w14:textFill>
            <w14:solidFill>
              <w14:schemeClr w14:val="tx1"/>
            </w14:solidFill>
          </w14:textFill>
        </w:rPr>
        <w:t xml:space="preserve">-工业热水锅炉水质，3</w:t>
      </w:r>
      <w:r>
        <w:rPr>
          <w:color w:val="000000" w:themeColor="text1"/>
          <w:highlight w:val="yellow"/>
          <w14:textFill>
            <w14:solidFill>
              <w14:schemeClr w14:val="tx1"/>
            </w14:solidFill>
          </w14:textFill>
        </w:rPr>
        <w:t xml:space="preserve">94</w:t>
      </w:r>
      <w:r>
        <w:rPr>
          <w:rFonts w:hint="eastAsia"/>
          <w:color w:val="000000" w:themeColor="text1"/>
          <w:highlight w:val="yellow"/>
          <w14:textFill>
            <w14:solidFill>
              <w14:schemeClr w14:val="tx1"/>
            </w14:solidFill>
          </w14:textFill>
        </w:rPr>
        <w:t xml:space="preserve">-工业蒸汽锅炉水质，3</w:t>
      </w:r>
      <w:r>
        <w:rPr>
          <w:color w:val="000000" w:themeColor="text1"/>
          <w:highlight w:val="yellow"/>
          <w14:textFill>
            <w14:solidFill>
              <w14:schemeClr w14:val="tx1"/>
            </w14:solidFill>
          </w14:textFill>
        </w:rPr>
        <w:t xml:space="preserve">95</w:t>
      </w:r>
      <w:r>
        <w:rPr>
          <w:rFonts w:hint="eastAsia"/>
          <w:color w:val="000000" w:themeColor="text1"/>
          <w:highlight w:val="yellow"/>
          <w14:textFill>
            <w14:solidFill>
              <w14:schemeClr w14:val="tx1"/>
            </w14:solidFill>
          </w14:textFill>
        </w:rPr>
        <w:t xml:space="preserve">-液体工业硫磺</w:t>
      </w:r>
      <w:r>
        <w:rPr>
          <w:color w:val="000000" w:themeColor="text1"/>
          <w:highlight w:val="yellow"/>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样品标识包含样品的名称、编号、规格和状态等，样品标识上的文字必须清晰可见。样品标识应明示在样品较醒目且不影响正常检验检测的位置。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样品测试状态标识</w:t>
      </w:r>
      <w:r>
        <w:rPr>
          <w:color w:val="000000" w:themeColor="text1"/>
          <w:highlight w:val="yellow"/>
          <w14:textFill>
            <w14:solidFill>
              <w14:schemeClr w14:val="tx1"/>
            </w14:solidFill>
          </w14:textFill>
        </w:rPr>
        <w:t xml:space="preserve">分为</w:t>
      </w:r>
      <w:r>
        <w:rPr>
          <w:rFonts w:hint="eastAsia"/>
          <w:color w:val="000000" w:themeColor="text1"/>
          <w:highlight w:val="yellow"/>
          <w:lang w:eastAsia="zh-CN"/>
          <w14:textFill>
            <w14:solidFill>
              <w14:schemeClr w14:val="tx1"/>
            </w14:solidFill>
          </w14:textFill>
        </w:rPr>
        <w:t xml:space="preserve">“</w:t>
      </w:r>
      <w:r>
        <w:rPr>
          <w:color w:val="000000" w:themeColor="text1"/>
          <w:highlight w:val="yellow"/>
          <w14:textFill>
            <w14:solidFill>
              <w14:schemeClr w14:val="tx1"/>
            </w14:solidFill>
          </w14:textFill>
        </w:rPr>
        <w:t xml:space="preserve">待</w:t>
      </w:r>
      <w:r>
        <w:rPr>
          <w:rFonts w:hint="eastAsia"/>
          <w:color w:val="000000" w:themeColor="text1"/>
          <w:highlight w:val="yellow"/>
          <w:lang w:val="en-US" w:eastAsia="zh-CN"/>
          <w14:textFill>
            <w14:solidFill>
              <w14:schemeClr w14:val="tx1"/>
            </w14:solidFill>
          </w14:textFill>
        </w:rPr>
        <w:t xml:space="preserve">检</w:t>
      </w:r>
      <w:r>
        <w:rPr>
          <w:rFonts w:hint="eastAsia"/>
          <w:color w:val="000000" w:themeColor="text1"/>
          <w:highlight w:val="yellow"/>
          <w:lang w:eastAsia="zh-CN"/>
          <w14:textFill>
            <w14:solidFill>
              <w14:schemeClr w14:val="tx1"/>
            </w14:solidFill>
          </w14:textFill>
        </w:rPr>
        <w:t xml:space="preserve">”、“</w:t>
      </w:r>
      <w:r>
        <w:rPr>
          <w:rFonts w:hint="eastAsia"/>
          <w:color w:val="000000" w:themeColor="text1"/>
          <w:highlight w:val="yellow"/>
          <w:lang w:val="en-US" w:eastAsia="zh-CN"/>
          <w14:textFill>
            <w14:solidFill>
              <w14:schemeClr w14:val="tx1"/>
            </w14:solidFill>
          </w14:textFill>
        </w:rPr>
        <w:t xml:space="preserve">在检</w:t>
      </w:r>
      <w:r>
        <w:rPr>
          <w:rFonts w:hint="eastAsia"/>
          <w:color w:val="000000" w:themeColor="text1"/>
          <w:highlight w:val="yellow"/>
          <w:lang w:eastAsia="zh-CN"/>
          <w14:textFill>
            <w14:solidFill>
              <w14:schemeClr w14:val="tx1"/>
            </w14:solidFill>
          </w14:textFill>
        </w:rPr>
        <w:t xml:space="preserve">”</w:t>
      </w:r>
      <w:r>
        <w:rPr>
          <w:color w:val="000000" w:themeColor="text1"/>
          <w:highlight w:val="yellow"/>
          <w14:textFill>
            <w14:solidFill>
              <w14:schemeClr w14:val="tx1"/>
            </w14:solidFill>
          </w14:textFill>
        </w:rPr>
        <w:t xml:space="preserve">和</w:t>
      </w:r>
      <w:r>
        <w:rPr>
          <w:rFonts w:hint="eastAsia"/>
          <w:color w:val="000000" w:themeColor="text1"/>
          <w:highlight w:val="yellow"/>
          <w:lang w:eastAsia="zh-CN"/>
          <w14:textFill>
            <w14:solidFill>
              <w14:schemeClr w14:val="tx1"/>
            </w14:solidFill>
          </w14:textFill>
        </w:rPr>
        <w:t xml:space="preserve">“</w:t>
      </w:r>
      <w:r>
        <w:rPr>
          <w:rFonts w:hint="eastAsia"/>
          <w:color w:val="000000" w:themeColor="text1"/>
          <w:highlight w:val="yellow"/>
          <w:lang w:val="en-US" w:eastAsia="zh-CN"/>
          <w14:textFill>
            <w14:solidFill>
              <w14:schemeClr w14:val="tx1"/>
            </w14:solidFill>
          </w14:textFill>
        </w:rPr>
        <w:t xml:space="preserve">已检</w:t>
      </w:r>
      <w:r>
        <w:rPr>
          <w:rFonts w:hint="eastAsia"/>
          <w:color w:val="000000" w:themeColor="text1"/>
          <w:highlight w:val="yellow"/>
          <w:lang w:eastAsia="zh-CN"/>
          <w14:textFill>
            <w14:solidFill>
              <w14:schemeClr w14:val="tx1"/>
            </w14:solidFill>
          </w14:textFill>
        </w:rPr>
        <w:t xml:space="preserve">”</w:t>
      </w:r>
      <w:r>
        <w:rPr>
          <w:rFonts w:hint="eastAsia"/>
          <w:color w:val="000000" w:themeColor="text1"/>
          <w:highlight w:val="yellow"/>
          <w14:textFill>
            <w14:solidFill>
              <w14:schemeClr w14:val="tx1"/>
            </w14:solidFill>
          </w14:textFill>
        </w:rPr>
        <w:t xml:space="preserve">两</w:t>
      </w:r>
      <w:r>
        <w:rPr>
          <w:color w:val="000000" w:themeColor="text1"/>
          <w:highlight w:val="yellow"/>
          <w14:textFill>
            <w14:solidFill>
              <w14:schemeClr w14:val="tx1"/>
            </w14:solidFill>
          </w14:textFill>
        </w:rPr>
        <w:t xml:space="preserve">种</w:t>
      </w:r>
      <w:r>
        <w:rPr>
          <w:color w:val="000000" w:themeColor="text1"/>
          <w14:textFill>
            <w14:solidFill>
              <w14:schemeClr w14:val="tx1"/>
            </w14:solidFill>
          </w14:textFill>
        </w:rPr>
        <w:t xml:space="preserve">。样品初始测试状态</w:t>
      </w:r>
      <w:r>
        <w:rPr>
          <w:rFonts w:hint="eastAsia"/>
          <w:color w:val="000000" w:themeColor="text1"/>
          <w:lang w:eastAsia="zh-CN"/>
          <w14:textFill>
            <w14:solidFill>
              <w14:schemeClr w14:val="tx1"/>
            </w14:solidFill>
          </w14:textFill>
        </w:rPr>
        <w:t xml:space="preserve">“</w:t>
      </w:r>
      <w:r>
        <w:rPr>
          <w:rFonts w:hint="eastAsia"/>
          <w:color w:val="000000" w:themeColor="text1"/>
          <w:lang w:val="en-US" w:eastAsia="zh-CN"/>
          <w14:textFill>
            <w14:solidFill>
              <w14:schemeClr w14:val="tx1"/>
            </w14:solidFill>
          </w14:textFill>
        </w:rPr>
        <w:t xml:space="preserve">待检</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由样品管理员标识。客户委托样品的备样应在标签上标注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备样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标识，经过分样处理后留存的样品应在标签上标注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留样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在检验检测过程中检验检测人员根据样品测试状态在样品测试状态框中作相应的标记，并有明显的区域区分。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样品的流转</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常规样品（包括油气产品、环境监测、固井水泥浆、酸化压裂液等样品），样品管理员进行样品符合性检查、标识和登记后，</w:t>
      </w:r>
      <w:r>
        <w:rPr>
          <w:color w:val="000000" w:themeColor="text1"/>
          <w:highlight w:val="yellow"/>
          <w14:textFill>
            <w14:solidFill>
              <w14:schemeClr w14:val="tx1"/>
            </w14:solidFill>
          </w14:textFill>
        </w:rPr>
        <w:t xml:space="preserve">对样品进行加密处理，即张贴样品标签，样品唯一性编号作为唯一标识，</w:t>
      </w:r>
      <w:r>
        <w:rPr>
          <w:color w:val="000000" w:themeColor="text1"/>
          <w14:textFill>
            <w14:solidFill>
              <w14:schemeClr w14:val="tx1"/>
            </w14:solidFill>
          </w14:textFill>
        </w:rPr>
        <w:t xml:space="preserve">编制</w:t>
      </w:r>
      <w:r>
        <w:fldChar w:fldCharType="begin"/>
      </w:r>
      <w:r>
        <w:instrText xml:space="preserve"> HYPERLINK "https://pqsuhhq8yu6.feishu.cn/wiki/Nh1Ow6G3mipJHJkQk3GcA3eFnve" \h </w:instrText>
      </w:r>
      <w:r>
        <w:fldChar w:fldCharType="separate"/>
      </w:r>
      <w:r>
        <w:rPr>
          <w:color w:val="000000" w:themeColor="text1"/>
          <w14:textFill>
            <w14:solidFill>
              <w14:schemeClr w14:val="tx1"/>
            </w14:solidFill>
          </w14:textFill>
        </w:rPr>
        <w:t xml:space="preserve">ZJZ/JL26-1生产任务单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，将检验检测任务下达至检测项目负责人，并尽快通知领取样品。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特殊样品（钻井液助剂、阳光筛选评价样品等需要进行特殊处理的样品），样品管理员先对样品进行加密处理，即张贴样品标签，样品唯一性编号作为唯一标识，客户委托的或原有样品的信息及标签清理干净，确保样品上没有保留原客户记录的信息和明显特征。再由样品管理员对样品进行分样处理，按照四等分法进行充分混合均匀样品，混匀后从样品中取出满足检验检测用量的一份装入统一样品袋作为</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待检</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，其余标记</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留样</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标识留存。分样后的样品张贴样品标签，采用统一样品袋或样品瓶进行盛放。分样完成后，样品管理员填写样品登记表，记录时间、分样人、样品重量等信息。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w:t>
      </w:r>
      <w:r>
        <w:rPr>
          <w:color w:val="000000" w:themeColor="text1"/>
          <w:highlight w:val="yellow"/>
          <w14:textFill>
            <w14:solidFill>
              <w14:schemeClr w14:val="tx1"/>
            </w14:solidFill>
          </w14:textFill>
        </w:rPr>
        <w:t xml:space="preserve">特殊样品应贮存在专用库房内，且库房仅样品管理员授权进入，出入库房填写ZJZ/JL34-1 进入仓库人员登记表。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在接收到检测任务后，检测项目负责人查看样品标识是否与清单相符，在</w:t>
      </w:r>
      <w:r>
        <w:fldChar w:fldCharType="begin"/>
      </w:r>
      <w:r>
        <w:instrText xml:space="preserve"> HYPERLINK "https://pqsuhhq8yu6.feishu.cn/wiki/Nh1Ow6G3mipJHJkQk3GcA3eFnve" \h </w:instrText>
      </w:r>
      <w:r>
        <w:fldChar w:fldCharType="separate"/>
      </w:r>
      <w:r>
        <w:rPr>
          <w:color w:val="000000" w:themeColor="text1"/>
          <w14:textFill>
            <w14:solidFill>
              <w14:schemeClr w14:val="tx1"/>
            </w14:solidFill>
          </w14:textFill>
        </w:rPr>
        <w:t xml:space="preserve">ZJZ/JL26-1生产任务单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和</w:t>
      </w:r>
      <w:r>
        <w:fldChar w:fldCharType="begin"/>
      </w:r>
      <w:r>
        <w:instrText xml:space="preserve"> HYPERLINK "https://pqsuhhq8yu6.feishu.cn/wiki/NbObwb8N7imac4kd4mxc9PnfnSc" \h </w:instrText>
      </w:r>
      <w:r>
        <w:fldChar w:fldCharType="separate"/>
      </w:r>
      <w:r>
        <w:rPr>
          <w:color w:val="000000" w:themeColor="text1"/>
          <w14:textFill>
            <w14:solidFill>
              <w14:schemeClr w14:val="tx1"/>
            </w14:solidFill>
          </w14:textFill>
        </w:rPr>
        <w:t xml:space="preserve">ZJZ/JL 26-2 样品流转单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签字确认。检测项目负责人将样品及</w:t>
      </w:r>
      <w:r>
        <w:fldChar w:fldCharType="begin"/>
      </w:r>
      <w:r>
        <w:instrText xml:space="preserve"> HYPERLINK "https://pqsuhhq8yu6.feishu.cn/wiki/Nh1Ow6G3mipJHJkQk3GcA3eFnve" \h </w:instrText>
      </w:r>
      <w:r>
        <w:fldChar w:fldCharType="separate"/>
      </w:r>
      <w:r>
        <w:rPr>
          <w:color w:val="000000" w:themeColor="text1"/>
          <w14:textFill>
            <w14:solidFill>
              <w14:schemeClr w14:val="tx1"/>
            </w14:solidFill>
          </w14:textFill>
        </w:rPr>
        <w:t xml:space="preserve">ZJZ/JL26-1生产任务单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fldChar w:fldCharType="begin"/>
      </w:r>
      <w:r>
        <w:instrText xml:space="preserve"> HYPERLINK "https://pqsuhhq8yu6.feishu.cn/wiki/NbObwb8N7imac4kd4mxc9PnfnSc" \h </w:instrText>
      </w:r>
      <w:r>
        <w:fldChar w:fldCharType="separate"/>
      </w:r>
      <w:r>
        <w:rPr>
          <w:color w:val="000000" w:themeColor="text1"/>
          <w14:textFill>
            <w14:solidFill>
              <w14:schemeClr w14:val="tx1"/>
            </w14:solidFill>
          </w14:textFill>
        </w:rPr>
        <w:t xml:space="preserve">ZJZ/JL 26-2 样品流转单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传递到检验检测岗位。</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样品按检测项目工作流程流转，流转过程中的岗位人员填写</w:t>
      </w:r>
      <w:r>
        <w:fldChar w:fldCharType="begin"/>
      </w:r>
      <w:r>
        <w:instrText xml:space="preserve"> HYPERLINK "https://pqsuhhq8yu6.feishu.cn/wiki/NbObwb8N7imac4kd4mxc9PnfnSc" \h </w:instrText>
      </w:r>
      <w:r>
        <w:fldChar w:fldCharType="separate"/>
      </w:r>
      <w:r>
        <w:rPr>
          <w:color w:val="000000" w:themeColor="text1"/>
          <w14:textFill>
            <w14:solidFill>
              <w14:schemeClr w14:val="tx1"/>
            </w14:solidFill>
          </w14:textFill>
        </w:rPr>
        <w:t xml:space="preserve">ZJZ/JL 26-2 样品流转单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。样品流转过程中，除样品唯一性编号需转移和样品测试状态需标识外，任何人、任何时候都不能随意更改样品唯一性编号。检验检测原始记录应使用样品唯一性编号。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4.3.6 样品在制备、测试、传递过程中应加以防护。样品如遇到意外损坏或丢失，应在原始记录中说明，并向质量负责人报告，应立即与客户联系。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4.3.7 如果对样品是否适用于检测有任何疑问，或者样品与提供的说明不符，或者对所要求的检验检测规定的不够详细时，检验检测人员应上报技术负责人并在检验检测前同委托方确认，并要求进一步予以说明，相关过程应作好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4.3.8 样品检测完成并已经出具检验检测报告且经过三级审核后，检验检测人员将剩余的检测样品交还至样品管理员</w:t>
      </w:r>
      <w:r>
        <w:rPr>
          <w:color w:val="000000" w:themeColor="text1"/>
          <w:highlight w:val="yellow"/>
          <w14:textFill>
            <w14:solidFill>
              <w14:schemeClr w14:val="tx1"/>
            </w14:solidFill>
          </w14:textFill>
        </w:rPr>
        <w:t xml:space="preserve">，并填写</w:t>
      </w:r>
      <w:r>
        <w:fldChar w:fldCharType="begin"/>
      </w:r>
      <w:r>
        <w:instrText xml:space="preserve"> HYPERLINK "https://pqsuhhq8yu6.feishu.cn/wiki/NdkNwcp29iUHZyk5JGscdjLunFd" \h </w:instrText>
      </w:r>
      <w:r>
        <w:fldChar w:fldCharType="separate"/>
      </w:r>
      <w:r>
        <w:rPr>
          <w:color w:val="000000" w:themeColor="text1"/>
          <w:highlight w:val="yellow"/>
          <w14:textFill>
            <w14:solidFill>
              <w14:schemeClr w14:val="tx1"/>
            </w14:solidFill>
          </w14:textFill>
        </w:rPr>
        <w:t xml:space="preserve">ZJZ/JL 26-4 样品登记表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样品的贮存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已经完成检测的样品、备样以及客户委托质量检测站处置的样品应分类存放，样品管理员负责保持样品贮存间清洁、干燥、通风、无腐蚀的环境，并对贮存环境条件加以保持和监控。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钻井液助剂和环境监测的备样、已检样品需要妥善保存在专用库房内，应按样品的保管条件进行存放，以备补充检测或复检使用。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已检样品严格按照留样保存期限进行</w:t>
      </w:r>
      <w:r>
        <w:rPr>
          <w:rFonts w:hint="eastAsia"/>
          <w:color w:val="000000" w:themeColor="text1"/>
          <w:highlight w:val="yellow"/>
          <w:lang w:val="en-US" w:eastAsia="zh-CN"/>
          <w14:textFill>
            <w14:solidFill>
              <w14:schemeClr w14:val="tx1"/>
            </w14:solidFill>
          </w14:textFill>
        </w:rPr>
        <w:t xml:space="preserve">留样</w:t>
      </w:r>
      <w:r>
        <w:rPr>
          <w:color w:val="000000" w:themeColor="text1"/>
          <w14:textFill>
            <w14:solidFill>
              <w14:schemeClr w14:val="tx1"/>
            </w14:solidFill>
          </w14:textFill>
        </w:rPr>
        <w:t xml:space="preserve">保存，其中油田化学专业中钻井液助剂为</w:t>
      </w:r>
      <w:r>
        <w:rPr>
          <w:rFonts w:hint="eastAsia"/>
          <w:color w:val="000000" w:themeColor="text1"/>
          <w:highlight w:val="yellow"/>
          <w:lang w:val="en-US" w:eastAsia="zh-CN"/>
          <w14:textFill>
            <w14:solidFill>
              <w14:schemeClr w14:val="tx1"/>
            </w14:solidFill>
          </w14:textFill>
        </w:rPr>
        <w:t xml:space="preserve">6</w:t>
      </w:r>
      <w:r>
        <w:rPr>
          <w:color w:val="000000" w:themeColor="text1"/>
          <w14:textFill>
            <w14:solidFill>
              <w14:schemeClr w14:val="tx1"/>
            </w14:solidFill>
          </w14:textFill>
        </w:rPr>
        <w:t xml:space="preserve">个月</w:t>
      </w:r>
      <w:r>
        <w:rPr>
          <w:rFonts w:hint="eastAsia"/>
          <w:color w:val="000000" w:themeColor="text1"/>
          <w:lang w:eastAsia="zh-CN"/>
          <w14:textFill>
            <w14:solidFill>
              <w14:schemeClr w14:val="tx1"/>
            </w14:solidFill>
          </w14:textFill>
        </w:rPr>
        <w:t xml:space="preserve">，</w:t>
      </w:r>
      <w:r>
        <w:rPr>
          <w:rFonts w:hint="eastAsia"/>
          <w:color w:val="000000" w:themeColor="text1"/>
          <w:highlight w:val="yellow"/>
          <w:lang w:val="en-US" w:eastAsia="zh-CN"/>
          <w14:textFill>
            <w14:solidFill>
              <w14:schemeClr w14:val="tx1"/>
            </w14:solidFill>
          </w14:textFill>
        </w:rPr>
        <w:t xml:space="preserve">酸液大样和采油助剂报告发布且客户单位无异议后处置，酸液小样为3个月，固井为7天</w:t>
      </w:r>
      <w:r>
        <w:rPr>
          <w:color w:val="000000" w:themeColor="text1"/>
          <w14:textFill>
            <w14:solidFill>
              <w14:schemeClr w14:val="tx1"/>
            </w14:solidFill>
          </w14:textFill>
        </w:rPr>
        <w:t xml:space="preserve">；油气产品为1个月</w:t>
      </w:r>
      <w:r>
        <w:rPr>
          <w:rFonts w:hint="eastAsia"/>
          <w:color w:val="000000" w:themeColor="text1"/>
          <w:lang w:eastAsia="zh-CN"/>
          <w14:textFill>
            <w14:solidFill>
              <w14:schemeClr w14:val="tx1"/>
            </w14:solidFill>
          </w14:textFill>
        </w:rPr>
        <w:t xml:space="preserve">（</w:t>
      </w:r>
      <w:r>
        <w:rPr>
          <w:rFonts w:hint="eastAsia"/>
          <w:color w:val="000000" w:themeColor="text1"/>
          <w:highlight w:val="yellow"/>
          <w:lang w:eastAsia="zh-CN"/>
          <w14:textFill>
            <w14:solidFill>
              <w14:schemeClr w14:val="tx1"/>
            </w14:solidFill>
          </w14:textFill>
        </w:rPr>
        <w:t xml:space="preserve">天然气</w:t>
      </w:r>
      <w:r>
        <w:rPr>
          <w:rFonts w:hint="eastAsia"/>
          <w:color w:val="000000" w:themeColor="text1"/>
          <w:highlight w:val="yellow"/>
          <w:lang w:val="en-US" w:eastAsia="zh-CN"/>
          <w14:textFill>
            <w14:solidFill>
              <w14:schemeClr w14:val="tx1"/>
            </w14:solidFill>
          </w14:textFill>
        </w:rPr>
        <w:t xml:space="preserve">样品为2天、钢瓶样品由送样单位下次送样时自行取回</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，交接站点含水密度样品为24小时；润滑油样品为3个月。环境监测固体样品为3个月，液体样品</w:t>
      </w:r>
      <w:r>
        <w:rPr>
          <w:rFonts w:hint="eastAsia"/>
          <w:color w:val="000000" w:themeColor="text1"/>
          <w:highlight w:val="yellow"/>
          <w:lang w:val="en-US" w:eastAsia="zh-CN"/>
          <w14:textFill>
            <w14:solidFill>
              <w14:schemeClr w14:val="tx1"/>
            </w14:solidFill>
          </w14:textFill>
        </w:rPr>
        <w:t xml:space="preserve">为10天</w:t>
      </w:r>
      <w:r>
        <w:rPr>
          <w:color w:val="000000" w:themeColor="text1"/>
          <w14:textFill>
            <w14:solidFill>
              <w14:schemeClr w14:val="tx1"/>
            </w14:solidFill>
          </w14:textFill>
        </w:rPr>
        <w:t xml:space="preserve">。客户对留样期有特殊要求的与客户协商达成一致后执行；特殊样品留样期限可根据实际情况适当延长。</w:t>
      </w:r>
      <w:r>
        <w:rPr>
          <w:color w:val="000000" w:themeColor="text1"/>
          <w14:textFill>
            <w14:solidFill>
              <w14:schemeClr w14:val="tx1"/>
            </w14:solidFill>
          </w14:textFill>
        </w:rPr>
      </w:r>
    </w:p>
    <w:p>
      <w:pPr>
        <w:pBdr/>
        <w:spacing/>
        <w:ind/>
        <w:rPr>
          <w:b/>
          <w:color w:val="000000" w:themeColor="text1"/>
          <w:sz w:val="20"/>
          <w14:textFill>
            <w14:solidFill>
              <w14:schemeClr w14:val="tx1"/>
            </w14:solidFill>
          </w14:textFill>
        </w:rPr>
      </w:pPr>
      <w:r>
        <w:rPr>
          <w:rFonts w:hint="eastAsia"/>
          <w:b/>
          <w:color w:val="000000" w:themeColor="text1"/>
          <w:sz w:val="20"/>
          <w14:textFill>
            <w14:solidFill>
              <w14:schemeClr w14:val="tx1"/>
            </w14:solidFill>
          </w14:textFill>
        </w:rPr>
        <w:t xml:space="preserve">注：留样期时间以报告出具时间为开始时间计算</w:t>
      </w:r>
      <w:r>
        <w:rPr>
          <w:b/>
          <w:color w:val="000000" w:themeColor="text1"/>
          <w:sz w:val="20"/>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要求在特定环境条件下贮存的样品，应严格控制环境条件。易爆、易燃和有毒的危险样品应隔离存放，做出明显标记。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样品的处置和销毁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样品保存期满后，对过期留样进行处置：</w:t>
      </w:r>
      <w:r>
        <w:rPr>
          <w:color w:val="000000" w:themeColor="text1"/>
          <w14:textFill>
            <w14:solidFill>
              <w14:schemeClr w14:val="tx1"/>
            </w14:solidFill>
          </w14:textFill>
        </w:rPr>
      </w:r>
    </w:p>
    <w:p>
      <w:pPr>
        <w:pStyle w:val="1996"/>
        <w:numPr>
          <w:ilvl w:val="0"/>
          <w:numId w:val="40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客户要求返还的样品，由样品管理员联系客户，剩余样品由客户带回。</w:t>
      </w:r>
      <w:r>
        <w:rPr>
          <w:color w:val="000000" w:themeColor="text1"/>
          <w14:textFill>
            <w14:solidFill>
              <w14:schemeClr w14:val="tx1"/>
            </w14:solidFill>
          </w14:textFill>
        </w:rPr>
      </w:r>
    </w:p>
    <w:p>
      <w:pPr>
        <w:pStyle w:val="1996"/>
        <w:numPr>
          <w:ilvl w:val="0"/>
          <w:numId w:val="40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客户要求实验室自行处置的样品由样品管理员填写</w:t>
      </w:r>
      <w:r>
        <w:fldChar w:fldCharType="begin"/>
      </w:r>
      <w:r>
        <w:instrText xml:space="preserve"> HYPERLINK "https://pqsuhhq8yu6.feishu.cn/wiki/JE0ZwyogkiH5Ymkexa6cWP6hnBh" \h </w:instrText>
      </w:r>
      <w:r>
        <w:fldChar w:fldCharType="separate"/>
      </w:r>
      <w:r>
        <w:rPr>
          <w:color w:val="000000" w:themeColor="text1"/>
          <w14:textFill>
            <w14:solidFill>
              <w14:schemeClr w14:val="tx1"/>
            </w14:solidFill>
          </w14:textFill>
        </w:rPr>
        <w:t xml:space="preserve">ZJZ/JL26-3样品处置申请表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，报质量负责人批准，委托有资质的第三方进行处理。注意处理过程中不得污染环境。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样品处置申请表中填写的信息应能根据送样时间或编号或批号溯源样品流向。</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样品的保密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样品管理遵循保密规定。样品流转过程中，实验检测员应对样品的保密承担责任。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4.6.2 样品在受检过程中不允许无关人员参观，样品不允许带离检测场所。如有特殊需要将样品带离的，须经站长同意，并做好样品清单和交接人等签字记录。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4.6.3 对样品的保密，执行</w:t>
      </w:r>
      <w:r>
        <w:fldChar w:fldCharType="begin"/>
      </w:r>
      <w:r>
        <w:instrText xml:space="preserve"> HYPERLINK "https://pqsuhhq8yu6.feishu.cn/wiki/FYY4wWzRWiy0VUkla72cfh4ynPf" \h </w:instrText>
      </w:r>
      <w:r>
        <w:fldChar w:fldCharType="separate"/>
      </w:r>
      <w:r>
        <w:rPr>
          <w:color w:val="000000" w:themeColor="text1"/>
          <w14:textFill>
            <w14:solidFill>
              <w14:schemeClr w14:val="tx1"/>
            </w14:solidFill>
          </w14:textFill>
        </w:rPr>
        <w:t xml:space="preserve">ZJZ/CX-2 保护客户秘密和所有权程序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"https://pqsuhhq8yu6.feishu.cn/wiki/FYY4wWzRWiy0VUkla72cfh4ynPf" \h </w:instrText>
      </w:r>
      <w:r>
        <w:fldChar w:fldCharType="separate"/>
      </w:r>
      <w:r>
        <w:rPr>
          <w:color w:val="000000" w:themeColor="text1"/>
          <w14:textFill>
            <w14:solidFill>
              <w14:schemeClr w14:val="tx1"/>
            </w14:solidFill>
          </w14:textFill>
        </w:rPr>
        <w:t xml:space="preserve">ZJZ/CX-2 保护客户秘密和所有权程序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ZJZ/JL11-1任务委托单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"https://pqsuhhq8yu6.feishu.cn/wiki/W5gCw8PmNiPIKVkmENScAyQlnAg" \h </w:instrText>
      </w:r>
      <w:r>
        <w:fldChar w:fldCharType="separate"/>
      </w:r>
      <w:r>
        <w:rPr>
          <w:color w:val="000000" w:themeColor="text1"/>
          <w14:textFill>
            <w14:solidFill>
              <w14:schemeClr w14:val="tx1"/>
            </w14:solidFill>
          </w14:textFill>
        </w:rPr>
        <w:t xml:space="preserve">ZJZ/JL 11-2 特殊合同委托书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"https://pqsuhhq8yu6.feishu.cn/wiki/Nh1Ow6G3mipJHJkQk3GcA3eFnve" \h </w:instrText>
      </w:r>
      <w:r>
        <w:fldChar w:fldCharType="separate"/>
      </w:r>
      <w:r>
        <w:rPr>
          <w:color w:val="000000" w:themeColor="text1"/>
          <w14:textFill>
            <w14:solidFill>
              <w14:schemeClr w14:val="tx1"/>
            </w14:solidFill>
          </w14:textFill>
        </w:rPr>
        <w:t xml:space="preserve">ZJZ/JL26-1生产任务单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"https://pqsuhhq8yu6.feishu.cn/wiki/NbObwb8N7imac4kd4mxc9PnfnSc" \h </w:instrText>
      </w:r>
      <w:r>
        <w:fldChar w:fldCharType="separate"/>
      </w:r>
      <w:r>
        <w:rPr>
          <w:color w:val="000000" w:themeColor="text1"/>
          <w14:textFill>
            <w14:solidFill>
              <w14:schemeClr w14:val="tx1"/>
            </w14:solidFill>
          </w14:textFill>
        </w:rPr>
        <w:t xml:space="preserve">ZJZ/JL 26-2 样品流转单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"https://pqsuhhq8yu6.feishu.cn/wiki/JE0ZwyogkiH5Ymkexa6cWP6hnBh" \h </w:instrText>
      </w:r>
      <w:r>
        <w:fldChar w:fldCharType="separate"/>
      </w:r>
      <w:r>
        <w:rPr>
          <w:color w:val="000000" w:themeColor="text1"/>
          <w14:textFill>
            <w14:solidFill>
              <w14:schemeClr w14:val="tx1"/>
            </w14:solidFill>
          </w14:textFill>
        </w:rPr>
        <w:t xml:space="preserve">ZJZ/JL26-3样品处置申请表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"https://pqsuhhq8yu6.feishu.cn/wiki/NdkNwcp29iUHZyk5JGscdjLunFd" \h </w:instrText>
      </w:r>
      <w:r>
        <w:fldChar w:fldCharType="separate"/>
      </w:r>
      <w:r>
        <w:rPr>
          <w:color w:val="000000" w:themeColor="text1"/>
          <w:highlight w:val="yellow"/>
          <w14:textFill>
            <w14:solidFill>
              <w14:schemeClr w14:val="tx1"/>
            </w14:solidFill>
          </w14:textFill>
        </w:rPr>
        <w:t xml:space="preserve">ZJZ/JL 26-4 样品登记表</w:t>
      </w:r>
      <w:r>
        <w:rPr>
          <w:color w:val="000000" w:themeColor="text1"/>
          <w:highlight w:val="yellow"/>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"https://pqsuhhq8yu6.feishu.cn/wiki/KYGcwufWCidDPlkqAWuco8uenwd" \h </w:instrText>
      </w:r>
      <w:r>
        <w:fldChar w:fldCharType="separate"/>
      </w:r>
      <w:r>
        <w:rPr>
          <w:color w:val="000000" w:themeColor="text1"/>
          <w14:textFill>
            <w14:solidFill>
              <w14:schemeClr w14:val="tx1"/>
            </w14:solidFill>
          </w14:textFill>
        </w:rPr>
        <w:t xml:space="preserve">ZJZ/JL34-1 进入仓库人员登记表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rPr>
          <w:color w:val="000000" w:themeColor="text1"/>
          <w14:textFill>
            <w14:solidFill>
              <w14:schemeClr w14:val="tx1"/>
            </w14:solidFill>
          </w14:textFill>
        </w:rPr>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50" w:name="_Toc5486"/>
      <w:r>
        <w:rPr>
          <w:color w:val="000000" w:themeColor="text1"/>
          <w14:textFill>
            <w14:solidFill>
              <w14:schemeClr w14:val="tx1"/>
            </w14:solidFill>
          </w14:textFill>
        </w:rPr>
        <w:t xml:space="preserve">ZJZ/CX-27 检验检测质量控制程序</w:t>
      </w:r>
      <w:bookmarkEnd w:id="50"/>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为了维持检验检测活动的有效性、检验检测结果的准确性和稳定性，有计划的对检验检测结果实施质量控制，以保证检验检测结果的质量。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适用于对检验检测活动和检验检测结果的质量控制。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质量负责人：负责组织制定质量检测站年度质量控制计划；负责质量控制活动实施的监督。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技术负责人：负责质量控制计划的审批。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授权签字人：负责在报告审核过程中发现问题组织开展质量控制活动的实施。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质量监督员：负责按照年度质量控制计划组织质量控制活动的实施，并对质控结果的效果进行评价。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实验室室主任：负责监督日常质控活动的开展情况，负责根据生产运行情况组织质量控制活动的实施。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3.6 检验检测人员：负责按照检测标准要求，开展日常质量控制活动的实施。</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质量控制计划的制定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本站质量控制活动分为内部质量控制和外部质量控制。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内部质量控制可分为日常质量控制、专项质量控制、临时质量控制。具体方式如下：</w:t>
      </w:r>
      <w:r>
        <w:rPr>
          <w:color w:val="000000" w:themeColor="text1"/>
          <w14:textFill>
            <w14:solidFill>
              <w14:schemeClr w14:val="tx1"/>
            </w14:solidFill>
          </w14:textFill>
        </w:rPr>
      </w:r>
    </w:p>
    <w:p>
      <w:pPr>
        <w:pStyle w:val="1996"/>
        <w:numPr>
          <w:ilvl w:val="0"/>
          <w:numId w:val="407"/>
        </w:numPr>
        <w:pBdr/>
        <w:spacing/>
        <w:ind/>
        <w:rPr>
          <w:color w:val="000000" w:themeColor="text1"/>
          <w14:textFill>
            <w14:solidFill>
              <w14:schemeClr w14:val="tx1"/>
            </w14:solidFill>
          </w14:textFill>
        </w:rPr>
      </w:pPr>
      <w:r>
        <w:rPr>
          <w:b/>
          <w:color w:val="000000" w:themeColor="text1"/>
          <w14:textFill>
            <w14:solidFill>
              <w14:schemeClr w14:val="tx1"/>
            </w14:solidFill>
          </w14:textFill>
        </w:rPr>
        <w:t xml:space="preserve">日常质量控制</w:t>
      </w:r>
      <w:r>
        <w:rPr>
          <w:color w:val="000000" w:themeColor="text1"/>
          <w14:textFill>
            <w14:solidFill>
              <w14:schemeClr w14:val="tx1"/>
            </w14:solidFill>
          </w14:textFill>
        </w:rPr>
        <w:t xml:space="preserve">：是指在技术方法标准中已经明确，需要开展的平行样、加标回收、标准曲线等质控活动。日常质控活动由检验检测人员实施，质控数据填写在检验检测原始记录中，当项目不满足质控要求时，需要重新检测。具体日常质量控制包括以下内容：</w:t>
      </w:r>
      <w:r>
        <w:rPr>
          <w:color w:val="000000" w:themeColor="text1"/>
          <w14:textFill>
            <w14:solidFill>
              <w14:schemeClr w14:val="tx1"/>
            </w14:solidFill>
          </w14:textFill>
        </w:rPr>
      </w:r>
    </w:p>
    <w:p>
      <w:pPr>
        <w:pStyle w:val="1996"/>
        <w:numPr>
          <w:ilvl w:val="0"/>
          <w:numId w:val="40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当方法标准中对平行样比例、标准曲线、加标样有要求时，则按照方法标准要求进行。</w:t>
      </w:r>
      <w:r>
        <w:rPr>
          <w:color w:val="000000" w:themeColor="text1"/>
          <w14:textFill>
            <w14:solidFill>
              <w14:schemeClr w14:val="tx1"/>
            </w14:solidFill>
          </w14:textFill>
        </w:rPr>
      </w:r>
    </w:p>
    <w:p>
      <w:pPr>
        <w:pStyle w:val="1996"/>
        <w:numPr>
          <w:ilvl w:val="0"/>
          <w:numId w:val="40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当方法标准中对平行样比例无要求时，并且无其他质量控制措施时，批次样品平行样比例不低于10%。</w:t>
      </w:r>
      <w:r>
        <w:rPr>
          <w:color w:val="000000" w:themeColor="text1"/>
          <w14:textFill>
            <w14:solidFill>
              <w14:schemeClr w14:val="tx1"/>
            </w14:solidFill>
          </w14:textFill>
        </w:rPr>
      </w:r>
    </w:p>
    <w:p>
      <w:pPr>
        <w:pStyle w:val="1996"/>
        <w:numPr>
          <w:ilvl w:val="0"/>
          <w:numId w:val="41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当方法标准中对标准样品检测有要求时，按方法标准执行，当岗位有标准样品时，适当时，每批量样品头、尾增加标准样品检测。</w:t>
      </w:r>
      <w:r>
        <w:rPr>
          <w:color w:val="000000" w:themeColor="text1"/>
          <w14:textFill>
            <w14:solidFill>
              <w14:schemeClr w14:val="tx1"/>
            </w14:solidFill>
          </w14:textFill>
        </w:rPr>
      </w:r>
    </w:p>
    <w:p>
      <w:pPr>
        <w:pStyle w:val="1996"/>
        <w:numPr>
          <w:ilvl w:val="0"/>
          <w:numId w:val="41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当方法标准中对标准曲线有要求时，按照方法标准执行，当方法标准中对标准曲线没有要求时，标准曲线有效期一般不超过3个月。</w:t>
      </w:r>
      <w:r>
        <w:rPr>
          <w:color w:val="000000" w:themeColor="text1"/>
          <w14:textFill>
            <w14:solidFill>
              <w14:schemeClr w14:val="tx1"/>
            </w14:solidFill>
          </w14:textFill>
        </w:rPr>
      </w:r>
    </w:p>
    <w:p>
      <w:pPr>
        <w:pStyle w:val="1996"/>
        <w:numPr>
          <w:ilvl w:val="0"/>
          <w:numId w:val="412"/>
        </w:numPr>
        <w:pBdr/>
        <w:spacing/>
        <w:ind/>
        <w:rPr>
          <w:color w:val="000000" w:themeColor="text1"/>
          <w14:textFill>
            <w14:solidFill>
              <w14:schemeClr w14:val="tx1"/>
            </w14:solidFill>
          </w14:textFill>
        </w:rPr>
      </w:pPr>
      <w:r>
        <w:rPr>
          <w:b/>
          <w:color w:val="000000" w:themeColor="text1"/>
          <w14:textFill>
            <w14:solidFill>
              <w14:schemeClr w14:val="tx1"/>
            </w14:solidFill>
          </w14:textFill>
        </w:rPr>
        <w:t xml:space="preserve">专项质量控制（年度质量控制计划中规定的质量控制工作内容）</w:t>
      </w:r>
      <w:r>
        <w:rPr>
          <w:color w:val="000000" w:themeColor="text1"/>
          <w14:textFill>
            <w14:solidFill>
              <w14:schemeClr w14:val="tx1"/>
            </w14:solidFill>
          </w14:textFill>
        </w:rPr>
        <w:t xml:space="preserve">：是指在检验检测活动中采用的质控活动，具体质控方式包括但不限于以下形式。专项质量控制由质量监督员实施，质控数据填写</w:t>
      </w:r>
      <w:r>
        <w:fldChar w:fldCharType="begin"/>
      </w:r>
      <w:r>
        <w:instrText xml:space="preserve"> HYPERLINK "https://pqsuhhq8yu6.feishu.cn/wiki/Vtpjwz7tPiBSmBknJeec3vKPnp6" \h </w:instrText>
      </w:r>
      <w:r>
        <w:fldChar w:fldCharType="separate"/>
      </w:r>
      <w:r>
        <w:rPr>
          <w:color w:val="000000" w:themeColor="text1"/>
          <w14:textFill>
            <w14:solidFill>
              <w14:schemeClr w14:val="tx1"/>
            </w14:solidFill>
          </w14:textFill>
        </w:rPr>
        <w:t xml:space="preserve">ZJZ/JL27-2质量控制结果评价记录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，当结果不满足质控要求时，执行</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Style w:val="1996"/>
        <w:numPr>
          <w:ilvl w:val="0"/>
          <w:numId w:val="41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人员监督；</w:t>
      </w:r>
      <w:r>
        <w:rPr>
          <w:color w:val="000000" w:themeColor="text1"/>
          <w14:textFill>
            <w14:solidFill>
              <w14:schemeClr w14:val="tx1"/>
            </w14:solidFill>
          </w14:textFill>
        </w:rPr>
      </w:r>
    </w:p>
    <w:p>
      <w:pPr>
        <w:pStyle w:val="1996"/>
        <w:numPr>
          <w:ilvl w:val="0"/>
          <w:numId w:val="41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盲样考核；</w:t>
      </w:r>
      <w:r>
        <w:rPr>
          <w:color w:val="000000" w:themeColor="text1"/>
          <w14:textFill>
            <w14:solidFill>
              <w14:schemeClr w14:val="tx1"/>
            </w14:solidFill>
          </w14:textFill>
        </w:rPr>
      </w:r>
    </w:p>
    <w:p>
      <w:pPr>
        <w:pStyle w:val="1996"/>
        <w:numPr>
          <w:ilvl w:val="0"/>
          <w:numId w:val="41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人员比对；</w:t>
      </w:r>
      <w:r>
        <w:rPr>
          <w:color w:val="000000" w:themeColor="text1"/>
          <w14:textFill>
            <w14:solidFill>
              <w14:schemeClr w14:val="tx1"/>
            </w14:solidFill>
          </w14:textFill>
        </w:rPr>
      </w:r>
    </w:p>
    <w:p>
      <w:pPr>
        <w:pStyle w:val="1996"/>
        <w:numPr>
          <w:ilvl w:val="0"/>
          <w:numId w:val="41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留样复测（密码样）；</w:t>
      </w:r>
      <w:r>
        <w:rPr>
          <w:color w:val="000000" w:themeColor="text1"/>
          <w14:textFill>
            <w14:solidFill>
              <w14:schemeClr w14:val="tx1"/>
            </w14:solidFill>
          </w14:textFill>
        </w:rPr>
      </w:r>
    </w:p>
    <w:p>
      <w:pPr>
        <w:pStyle w:val="1996"/>
        <w:numPr>
          <w:ilvl w:val="0"/>
          <w:numId w:val="41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重复检测或平行样检测；</w:t>
      </w:r>
      <w:r>
        <w:rPr>
          <w:color w:val="000000" w:themeColor="text1"/>
          <w14:textFill>
            <w14:solidFill>
              <w14:schemeClr w14:val="tx1"/>
            </w14:solidFill>
          </w14:textFill>
        </w:rPr>
      </w:r>
    </w:p>
    <w:p>
      <w:pPr>
        <w:pStyle w:val="1996"/>
        <w:numPr>
          <w:ilvl w:val="0"/>
          <w:numId w:val="41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方法比对；</w:t>
      </w:r>
      <w:r>
        <w:rPr>
          <w:color w:val="000000" w:themeColor="text1"/>
          <w14:textFill>
            <w14:solidFill>
              <w14:schemeClr w14:val="tx1"/>
            </w14:solidFill>
          </w14:textFill>
        </w:rPr>
      </w:r>
    </w:p>
    <w:p>
      <w:pPr>
        <w:pStyle w:val="1996"/>
        <w:numPr>
          <w:ilvl w:val="0"/>
          <w:numId w:val="41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设备比对，使用其他已校准能够提供可溯源结果的仪器；</w:t>
      </w:r>
      <w:r>
        <w:rPr>
          <w:color w:val="000000" w:themeColor="text1"/>
          <w14:textFill>
            <w14:solidFill>
              <w14:schemeClr w14:val="tx1"/>
            </w14:solidFill>
          </w14:textFill>
        </w:rPr>
      </w:r>
    </w:p>
    <w:p>
      <w:pPr>
        <w:pStyle w:val="1996"/>
        <w:numPr>
          <w:ilvl w:val="0"/>
          <w:numId w:val="42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使用有证标准物质或质量控制物质；</w:t>
      </w:r>
      <w:r>
        <w:rPr>
          <w:color w:val="000000" w:themeColor="text1"/>
          <w14:textFill>
            <w14:solidFill>
              <w14:schemeClr w14:val="tx1"/>
            </w14:solidFill>
          </w14:textFill>
        </w:rPr>
      </w:r>
    </w:p>
    <w:p>
      <w:pPr>
        <w:pStyle w:val="1996"/>
        <w:numPr>
          <w:ilvl w:val="0"/>
          <w:numId w:val="42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一个物品不同特性结果的相关性；</w:t>
      </w:r>
      <w:r>
        <w:rPr>
          <w:color w:val="000000" w:themeColor="text1"/>
          <w14:textFill>
            <w14:solidFill>
              <w14:schemeClr w14:val="tx1"/>
            </w14:solidFill>
          </w14:textFill>
        </w:rPr>
      </w:r>
    </w:p>
    <w:p>
      <w:pPr>
        <w:pStyle w:val="1996"/>
        <w:numPr>
          <w:ilvl w:val="0"/>
          <w:numId w:val="42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测量设备的期间核查；</w:t>
      </w:r>
      <w:r>
        <w:rPr>
          <w:color w:val="000000" w:themeColor="text1"/>
          <w14:textFill>
            <w14:solidFill>
              <w14:schemeClr w14:val="tx1"/>
            </w14:solidFill>
          </w14:textFill>
        </w:rPr>
      </w:r>
    </w:p>
    <w:p>
      <w:pPr>
        <w:pStyle w:val="1996"/>
        <w:numPr>
          <w:ilvl w:val="0"/>
          <w:numId w:val="42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测量和检测设备的功能核查；</w:t>
      </w:r>
      <w:r>
        <w:rPr>
          <w:color w:val="000000" w:themeColor="text1"/>
          <w14:textFill>
            <w14:solidFill>
              <w14:schemeClr w14:val="tx1"/>
            </w14:solidFill>
          </w14:textFill>
        </w:rPr>
      </w:r>
    </w:p>
    <w:p>
      <w:pPr>
        <w:pStyle w:val="1996"/>
        <w:numPr>
          <w:ilvl w:val="0"/>
          <w:numId w:val="42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适用时，使用核查或工作标准，并制作控制图；</w:t>
      </w:r>
      <w:r>
        <w:rPr>
          <w:color w:val="000000" w:themeColor="text1"/>
          <w14:textFill>
            <w14:solidFill>
              <w14:schemeClr w14:val="tx1"/>
            </w14:solidFill>
          </w14:textFill>
        </w:rPr>
      </w:r>
    </w:p>
    <w:p>
      <w:pPr>
        <w:pStyle w:val="1996"/>
        <w:numPr>
          <w:ilvl w:val="0"/>
          <w:numId w:val="42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审查报告的结果；</w:t>
      </w:r>
      <w:r>
        <w:rPr>
          <w:color w:val="000000" w:themeColor="text1"/>
          <w14:textFill>
            <w14:solidFill>
              <w14:schemeClr w14:val="tx1"/>
            </w14:solidFill>
          </w14:textFill>
        </w:rPr>
      </w:r>
    </w:p>
    <w:p>
      <w:pPr>
        <w:pStyle w:val="1996"/>
        <w:numPr>
          <w:ilvl w:val="0"/>
          <w:numId w:val="42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质量标准的执行；</w:t>
      </w:r>
      <w:r>
        <w:rPr>
          <w:color w:val="000000" w:themeColor="text1"/>
          <w14:textFill>
            <w14:solidFill>
              <w14:schemeClr w14:val="tx1"/>
            </w14:solidFill>
          </w14:textFill>
        </w:rPr>
      </w:r>
    </w:p>
    <w:p>
      <w:pPr>
        <w:pStyle w:val="1996"/>
        <w:numPr>
          <w:ilvl w:val="0"/>
          <w:numId w:val="42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检测过程质量监控（检测结果无法复现时）。</w:t>
      </w:r>
      <w:r>
        <w:rPr>
          <w:color w:val="000000" w:themeColor="text1"/>
          <w14:textFill>
            <w14:solidFill>
              <w14:schemeClr w14:val="tx1"/>
            </w14:solidFill>
          </w14:textFill>
        </w:rPr>
      </w:r>
    </w:p>
    <w:p>
      <w:pPr>
        <w:pStyle w:val="1996"/>
        <w:numPr>
          <w:ilvl w:val="0"/>
          <w:numId w:val="428"/>
        </w:numPr>
        <w:pBdr/>
        <w:spacing/>
        <w:ind/>
        <w:rPr>
          <w:color w:val="000000" w:themeColor="text1"/>
          <w14:textFill>
            <w14:solidFill>
              <w14:schemeClr w14:val="tx1"/>
            </w14:solidFill>
          </w14:textFill>
        </w:rPr>
      </w:pPr>
      <w:r>
        <w:rPr>
          <w:b/>
          <w:color w:val="000000" w:themeColor="text1"/>
          <w14:textFill>
            <w14:solidFill>
              <w14:schemeClr w14:val="tx1"/>
            </w14:solidFill>
          </w14:textFill>
        </w:rPr>
        <w:t xml:space="preserve">临时质量控制</w:t>
      </w:r>
      <w:r>
        <w:rPr>
          <w:color w:val="000000" w:themeColor="text1"/>
          <w14:textFill>
            <w14:solidFill>
              <w14:schemeClr w14:val="tx1"/>
            </w14:solidFill>
          </w14:textFill>
        </w:rPr>
        <w:t xml:space="preserve">：授权签字人、报告审核人在审核报告时发现问题有必要组织开展质控活动，实验室室主任根据生产运行情况（如工作量增多、重点关注）有必要开展的质控活动。具体质控形式参考专项质控控制的形式。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w:t>
      </w:r>
      <w:r>
        <w:rPr>
          <w:b/>
          <w:color w:val="000000" w:themeColor="text1"/>
          <w14:textFill>
            <w14:solidFill>
              <w14:schemeClr w14:val="tx1"/>
            </w14:solidFill>
          </w14:textFill>
        </w:rPr>
        <w:t xml:space="preserve">外部质量控制</w:t>
      </w:r>
      <w:r>
        <w:rPr>
          <w:color w:val="000000" w:themeColor="text1"/>
          <w14:textFill>
            <w14:solidFill>
              <w14:schemeClr w14:val="tx1"/>
            </w14:solidFill>
          </w14:textFill>
        </w:rPr>
        <w:t xml:space="preserve">包括参加实验室间比对、能力验证。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每年年初，质量监督员组织实验室室主任制定本年度质量控制计划，填写</w:t>
      </w:r>
      <w:r>
        <w:fldChar w:fldCharType="begin"/>
      </w:r>
      <w:r>
        <w:instrText xml:space="preserve"> HYPERLINK "https://pqsuhhq8yu6.feishu.cn/wiki/MUFkwNFJRi2N0RkIMYtc3Sjcnke" \h </w:instrText>
      </w:r>
      <w:r>
        <w:fldChar w:fldCharType="separate"/>
      </w:r>
      <w:r>
        <w:rPr>
          <w:color w:val="000000" w:themeColor="text1"/>
          <w14:textFill>
            <w14:solidFill>
              <w14:schemeClr w14:val="tx1"/>
            </w14:solidFill>
          </w14:textFill>
        </w:rPr>
        <w:t xml:space="preserve">ZJZ/JL 27-1 ****年度质量控制计划表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，提交质量负责人审核后实施。年度质控计划的实施由质量监督员按照计划组织开展。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质量控制计划内容包括专项质量控制和外部质量控制，计划应考虑以下因素：</w:t>
      </w:r>
      <w:r>
        <w:rPr>
          <w:color w:val="000000" w:themeColor="text1"/>
          <w14:textFill>
            <w14:solidFill>
              <w14:schemeClr w14:val="tx1"/>
            </w14:solidFill>
          </w14:textFill>
        </w:rPr>
      </w:r>
    </w:p>
    <w:p>
      <w:pPr>
        <w:pStyle w:val="1996"/>
        <w:numPr>
          <w:ilvl w:val="0"/>
          <w:numId w:val="42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检验检测业务量；</w:t>
      </w:r>
      <w:r>
        <w:rPr>
          <w:color w:val="000000" w:themeColor="text1"/>
          <w14:textFill>
            <w14:solidFill>
              <w14:schemeClr w14:val="tx1"/>
            </w14:solidFill>
          </w14:textFill>
        </w:rPr>
      </w:r>
    </w:p>
    <w:p>
      <w:pPr>
        <w:pStyle w:val="1996"/>
        <w:numPr>
          <w:ilvl w:val="0"/>
          <w:numId w:val="43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检验检测结果的用途；</w:t>
      </w:r>
      <w:r>
        <w:rPr>
          <w:color w:val="000000" w:themeColor="text1"/>
          <w14:textFill>
            <w14:solidFill>
              <w14:schemeClr w14:val="tx1"/>
            </w14:solidFill>
          </w14:textFill>
        </w:rPr>
      </w:r>
    </w:p>
    <w:p>
      <w:pPr>
        <w:pStyle w:val="1996"/>
        <w:numPr>
          <w:ilvl w:val="0"/>
          <w:numId w:val="43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检验检测方法本身的稳定性与复杂性；</w:t>
      </w:r>
      <w:r>
        <w:rPr>
          <w:color w:val="000000" w:themeColor="text1"/>
          <w14:textFill>
            <w14:solidFill>
              <w14:schemeClr w14:val="tx1"/>
            </w14:solidFill>
          </w14:textFill>
        </w:rPr>
      </w:r>
    </w:p>
    <w:p>
      <w:pPr>
        <w:pStyle w:val="1996"/>
        <w:numPr>
          <w:ilvl w:val="0"/>
          <w:numId w:val="43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对技术人员经验的依赖程度；</w:t>
      </w:r>
      <w:r>
        <w:rPr>
          <w:color w:val="000000" w:themeColor="text1"/>
          <w14:textFill>
            <w14:solidFill>
              <w14:schemeClr w14:val="tx1"/>
            </w14:solidFill>
          </w14:textFill>
        </w:rPr>
      </w:r>
    </w:p>
    <w:p>
      <w:pPr>
        <w:pStyle w:val="1996"/>
        <w:numPr>
          <w:ilvl w:val="0"/>
          <w:numId w:val="43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参加外部比对（包含能力验证）的频次与结果；</w:t>
      </w:r>
      <w:r>
        <w:rPr>
          <w:color w:val="000000" w:themeColor="text1"/>
          <w14:textFill>
            <w14:solidFill>
              <w14:schemeClr w14:val="tx1"/>
            </w14:solidFill>
          </w14:textFill>
        </w:rPr>
      </w:r>
    </w:p>
    <w:p>
      <w:pPr>
        <w:pStyle w:val="1996"/>
        <w:numPr>
          <w:ilvl w:val="0"/>
          <w:numId w:val="43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人员的能力和经验、人员数量及变动情况；</w:t>
      </w:r>
      <w:r>
        <w:rPr>
          <w:color w:val="000000" w:themeColor="text1"/>
          <w14:textFill>
            <w14:solidFill>
              <w14:schemeClr w14:val="tx1"/>
            </w14:solidFill>
          </w14:textFill>
        </w:rPr>
      </w:r>
    </w:p>
    <w:p>
      <w:pPr>
        <w:pStyle w:val="1996"/>
        <w:numPr>
          <w:ilvl w:val="0"/>
          <w:numId w:val="43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新采用的方法或变更的方法。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4.1.6 质量控制计划应覆盖申请资质认定/认可或已获资质认定/认可范围内的所有检测项目、产品（样品类型）、检测方法类型、仪器类型，并能有效监控检验/检测结果的准确性和稳定性。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4.1.7 对于特殊检验检测项目（检测结果无法复现时），也要纳入质量监控计划，采取检测过程质量监控手段实施质量控制，确保检测结果的可靠性和准确性。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4.1.8 如果检验检测方法中规定了质量控制方法，作为日常质控计划按标准方法执行。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4.1.9 外部质量监控必须参加认监委、认可委和行业组织的能力验证活动；积极参加或组织取得资质认定实验室之间的比对活动。本站在认证半周期内各领域至少覆盖一次能力验证或实验室间比对，发现检测工作中存在的问题，及时改进。</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质量控制计划的实施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质量控制计划中的标准物质、检测样品（再测样品、盲样复测）等由质量监督员选择样品交样品管理员统一编号，按照检测样品程序送样，对检测人员保密，由质量监督员进行结果评价，填写</w:t>
      </w:r>
      <w:r>
        <w:fldChar w:fldCharType="begin"/>
      </w:r>
      <w:r>
        <w:instrText xml:space="preserve"> HYPERLINK "https://pqsuhhq8yu6.feishu.cn/wiki/Vtpjwz7tPiBSmBknJeec3vKPnp6" \h </w:instrText>
      </w:r>
      <w:r>
        <w:fldChar w:fldCharType="separate"/>
      </w:r>
      <w:r>
        <w:rPr>
          <w:color w:val="000000" w:themeColor="text1"/>
          <w14:textFill>
            <w14:solidFill>
              <w14:schemeClr w14:val="tx1"/>
            </w14:solidFill>
          </w14:textFill>
        </w:rPr>
        <w:t xml:space="preserve">ZJZ/JL27-2质量控制结果评价记录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人员监督由质量监督员对检验检测人员开展旁站监督，并记录监督情况，填写</w:t>
      </w:r>
      <w:r>
        <w:fldChar w:fldCharType="begin"/>
      </w:r>
      <w:r>
        <w:instrText xml:space="preserve"> HYPERLINK "https://pqsuhhq8yu6.feishu.cn/wiki/BTp6wS3BDiS7GYktsjncVMxYn6b" \h </w:instrText>
      </w:r>
      <w:r>
        <w:fldChar w:fldCharType="separate"/>
      </w:r>
      <w:r>
        <w:rPr>
          <w:color w:val="000000" w:themeColor="text1"/>
          <w14:textFill>
            <w14:solidFill>
              <w14:schemeClr w14:val="tx1"/>
            </w14:solidFill>
          </w14:textFill>
        </w:rPr>
        <w:t xml:space="preserve">ZJZ/JL 27-3 质量监督工作记录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，发现问题及时向质量负责人汇报。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实验室室主任根据生产情况开展日常质量控制、临时质量控制任务的下达，质控样品交样品管理员统一编号，按照检测样品程序送样，对检测人员保密，并对监督结果进行评价，填写</w:t>
      </w:r>
      <w:r>
        <w:fldChar w:fldCharType="begin"/>
      </w:r>
      <w:r>
        <w:instrText xml:space="preserve"> HYPERLINK "https://pqsuhhq8yu6.feishu.cn/wiki/Vtpjwz7tPiBSmBknJeec3vKPnp6" \h </w:instrText>
      </w:r>
      <w:r>
        <w:fldChar w:fldCharType="separate"/>
      </w:r>
      <w:r>
        <w:rPr>
          <w:color w:val="000000" w:themeColor="text1"/>
          <w14:textFill>
            <w14:solidFill>
              <w14:schemeClr w14:val="tx1"/>
            </w14:solidFill>
          </w14:textFill>
        </w:rPr>
        <w:t xml:space="preserve">ZJZ/JL27-2质量控制结果评价记录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对执行质量控制计划过程中出现的不符合或经分析认为可能存在的隐患，应及时查找影响原因，根据原因分析，执行</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能力验证和实验室间比对由质量负责人与验证机构联系协商有关事宜，负责组织和实施，执行</w:t>
      </w:r>
      <w:r>
        <w:fldChar w:fldCharType="begin"/>
      </w:r>
      <w:r>
        <w:instrText xml:space="preserve"> HYPERLINK "https://pqsuhhq8yu6.feishu.cn/wiki/GpZFwEpJPivUJXkMQU0c9UH2nhc" \h </w:instrText>
      </w:r>
      <w:r>
        <w:fldChar w:fldCharType="separate"/>
      </w:r>
      <w:r>
        <w:rPr>
          <w:color w:val="000000" w:themeColor="text1"/>
          <w14:textFill>
            <w14:solidFill>
              <w14:schemeClr w14:val="tx1"/>
            </w14:solidFill>
          </w14:textFill>
        </w:rPr>
        <w:t xml:space="preserve">ZJZ/CX-28 能力验证/实验室间比对程序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在实验室间比对活动中若检验检测结果分析存在离散现象严重时或者能力验证结果为不满意时，由技术负责人组织相关人员，对该项目进行综合评价，找出影响结果的原因，执行</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在控制过程中，可采用适当的统计技术，对一些项目进行连续或多次的控制， 对其结果进行分析，从中及时发现可能出现的变异性，检查其质量可否得到保证。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4.2.8 质量负责人组织相关人员就质量控制活动实施的有效性进行评审。经评价发现计划有不相适应的部分，查明原因，并重新对质量控制计划进行调整，经质量负责人批准后实施。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质量控制活动应作为管理评审输入之一，质量负责人根据质量保证实施的效果应从取得的成绩和不足两个方面进行总结评价，为管理评审输出和下一年度质量控制活动的提供依据。</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"https://pqsuhhq8yu6.feishu.cn/wiki/GpZFwEpJPivUJXkMQU0c9UH2nhc" \h </w:instrText>
      </w:r>
      <w:r>
        <w:fldChar w:fldCharType="separate"/>
      </w:r>
      <w:r>
        <w:rPr>
          <w:color w:val="000000" w:themeColor="text1"/>
          <w14:textFill>
            <w14:solidFill>
              <w14:schemeClr w14:val="tx1"/>
            </w14:solidFill>
          </w14:textFill>
        </w:rPr>
        <w:t xml:space="preserve">ZJZ/CX-28 能力验证/实验室间比对程序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"https://pqsuhhq8yu6.feishu.cn/wiki/MUFkwNFJRi2N0RkIMYtc3Sjcnke" \h </w:instrText>
      </w:r>
      <w:r>
        <w:fldChar w:fldCharType="separate"/>
      </w:r>
      <w:r>
        <w:rPr>
          <w:color w:val="000000" w:themeColor="text1"/>
          <w14:textFill>
            <w14:solidFill>
              <w14:schemeClr w14:val="tx1"/>
            </w14:solidFill>
          </w14:textFill>
        </w:rPr>
        <w:t xml:space="preserve">ZJZ/JL 27-1 ****年度质量控制计划表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"https://pqsuhhq8yu6.feishu.cn/wiki/Vtpjwz7tPiBSmBknJeec3vKPnp6" \h </w:instrText>
      </w:r>
      <w:r>
        <w:fldChar w:fldCharType="separate"/>
      </w:r>
      <w:r>
        <w:rPr>
          <w:color w:val="000000" w:themeColor="text1"/>
          <w14:textFill>
            <w14:solidFill>
              <w14:schemeClr w14:val="tx1"/>
            </w14:solidFill>
          </w14:textFill>
        </w:rPr>
        <w:t xml:space="preserve">ZJZ/JL27-2质量控制结果评价记录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"https://pqsuhhq8yu6.feishu.cn/wiki/BTp6wS3BDiS7GYktsjncVMxYn6b" \h </w:instrText>
      </w:r>
      <w:r>
        <w:fldChar w:fldCharType="separate"/>
      </w:r>
      <w:r>
        <w:rPr>
          <w:color w:val="000000" w:themeColor="text1"/>
          <w14:textFill>
            <w14:solidFill>
              <w14:schemeClr w14:val="tx1"/>
            </w14:solidFill>
          </w14:textFill>
        </w:rPr>
        <w:t xml:space="preserve">ZJZ/JL 27-3 质量监督工作记录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51" w:name="_Toc30164"/>
      <w:r>
        <w:rPr>
          <w:color w:val="000000" w:themeColor="text1"/>
          <w14:textFill>
            <w14:solidFill>
              <w14:schemeClr w14:val="tx1"/>
            </w14:solidFill>
          </w14:textFill>
        </w:rPr>
        <w:t xml:space="preserve">ZJZ/CX-28 能力验证/实验室间比对程序</w:t>
      </w:r>
      <w:bookmarkEnd w:id="51"/>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通过参加能力验证或实验室间比对，借助外部力量，实现和验证监测质量，作为内部质量控制的补充和验证。</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适用于本站参加的能力验证或实验室间比对活动的管理。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技术负责人：负责能力验证计划或实验室间比对计划的审批。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质量负责人：组织实验室室主任收集能力验证/比对相关信息，制定能力验证/比对工作计划，负责能力验证/比对工作中问题的处理及协调。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实验室室主任：负责组织本室能力验证/比对工作的具体实施。</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工作程序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能力验证/比对计划</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质量负责人通过各种途径（如网上查询，认可委通知，中石化内部文件）了解国际、国内实验室比对或能力验证的活动信息，凡属本站检验检测能力范围内的能力验证或实验室比对项目，由技术负责人根据本站实际情况确认是否参加。将参加的能力验证和比对纳入中心年度质量监控计划，填写</w:t>
      </w:r>
      <w:r>
        <w:fldChar w:fldCharType="begin"/>
      </w:r>
      <w:r>
        <w:instrText xml:space="preserve"> HYPERLINK "https://pqsuhhq8yu6.feishu.cn/wiki/MUFkwNFJRi2N0RkIMYtc3Sjcnke" \h </w:instrText>
      </w:r>
      <w:r>
        <w:fldChar w:fldCharType="separate"/>
      </w:r>
      <w:r>
        <w:rPr>
          <w:color w:val="000000" w:themeColor="text1"/>
          <w14:textFill>
            <w14:solidFill>
              <w14:schemeClr w14:val="tx1"/>
            </w14:solidFill>
          </w14:textFill>
        </w:rPr>
        <w:t xml:space="preserve">ZJZ/JL 27-1 ****年度质量控制计划表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对没有开展国内实验室间比对或能力验证的检测项目，质量负责人按照频次要求组织比对活动，制定比对方案，报最高管理者批准。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只要存在可获得的能力验证，本站认证/认可的每个领域在认证周期内至少参加过 1 次能力验证且获得满意结果。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当本站使用了不同型号设备、多台相同设备和/或不同方法对于同一项目（或参数）出具数据时，其中应至少有一台设备或一种方法参加 1 次能力验证并在内部开展仪器设备比对或方法比对。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当本站获准认可领域的人员、设备或认可范围发生重大变化， 或者由于其他原因对本站的能力产生疑问时，本站可根据情况随时参加相关的能力验证活动， 以确认本站能够保持检验检测能力。</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能力验证/比对计划的实施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按照资质认定部门的要求，必须参加其组织开展的能力验证或者检验检测机构间比对，以保证持续符合资质认定条件和要求。积极参加有关政府部门、国际组织、专业技术评价机构组织开展的检验检测机构能力验证或者检验检测机构间比对。</w:t>
      </w:r>
      <w:r>
        <w:rPr>
          <w:color w:val="000000" w:themeColor="text1"/>
          <w14:textFill>
            <w14:solidFill>
              <w14:schemeClr w14:val="tx1"/>
            </w14:solidFill>
          </w14:textFill>
        </w:rPr>
      </w:r>
    </w:p>
    <w:p>
      <w:pPr>
        <w:pStyle w:val="1996"/>
        <w:numPr>
          <w:ilvl w:val="0"/>
          <w:numId w:val="43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若能力验证/比对结果满意，没有出现离群，给予肯定。</w:t>
      </w:r>
      <w:r>
        <w:rPr>
          <w:color w:val="000000" w:themeColor="text1"/>
          <w14:textFill>
            <w14:solidFill>
              <w14:schemeClr w14:val="tx1"/>
            </w14:solidFill>
          </w14:textFill>
        </w:rPr>
      </w:r>
    </w:p>
    <w:p>
      <w:pPr>
        <w:pStyle w:val="1996"/>
        <w:numPr>
          <w:ilvl w:val="0"/>
          <w:numId w:val="43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若能力验证/比对结果不满意，应立即停止在相关项目的报告中使用认证/认可标识，执行</w:t>
      </w: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需将相关不符合结果报送资质认定部门的，停用该不符合项目CMA章，并及时将纠正措施实施结果报送资质认定部门，待资质认定部门审核通过后再次启用CMA章。只有将实施纠正措施的记录以及纠正措施有效性证明材料在规定的期限内报有关部门确认后，方可恢复使用认可标识。纠正措施有效性的证明包括：再次参加能力验证计划、 以及申请相关测量审核或专家现场评审等活动的材料。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当接到能力验证/比对通知后，质量负责人组织实验室室主任及相关检验检测人员参加能力验证/比对工作会议，领会会议精神，领回样品。若有问题，及时与组织者沟通、协商解决。</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质量负责人组织实验室室主任根据能力验证/比对要求安排工作，各实验室检验检测人员实施检测。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样品管理员根据</w:t>
      </w:r>
      <w:r>
        <w:fldChar w:fldCharType="begin"/>
      </w:r>
      <w:r>
        <w:instrText xml:space="preserve"> HYPERLINK "https://pqsuhhq8yu6.feishu.cn/wiki/EwoTwFjyUikY5nk3rgac0xqGnkc" \h </w:instrText>
      </w:r>
      <w:r>
        <w:fldChar w:fldCharType="separate"/>
      </w:r>
      <w:r>
        <w:rPr>
          <w:color w:val="000000" w:themeColor="text1"/>
          <w14:textFill>
            <w14:solidFill>
              <w14:schemeClr w14:val="tx1"/>
            </w14:solidFill>
          </w14:textFill>
        </w:rPr>
        <w:t xml:space="preserve">ZJZ/CX-26 样品管理程序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，统一编号，发放能力验证/比对样品。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实验室室主任须高度重视能力验证和实验室间比对工作，在样品量和仪器等条件允许的情况下，采用仪器比对、人员比对、方法比对、相关项目检测比对等方式对结果进行验证。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检测人员要及时向实验室室主任反映检测工作中的问题，由实验室室主任负责组织解决问题或与能力验证/比对机构联系协商有关事宜。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检测结果经三级质量检查，报告批准人签字后报技术负责人审核后寄出。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收到比对或能力验证结果反馈文件后，将结果在内部进行通报，有关文件或资料交资料管理员存档。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4.2.10 如果能力验证出现不满意结果的项目，应由质量负责人和技术负责人组织有关人员分析原因实施纠正措施并经验证已消除了产生不满意结果的原因后， 重新向能力验证机构提出申请，直至得到能力验证满意结果。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能力验证/比对结果的应用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参加能力验证/比对活动的目的在于利用能力验证的结果来评价本站的检验检测能力， 所以应尽可能充分覆盖本站主要检验检测项目。根据能力验证/比对实施机构反馈的评价结果，技术负责人召集实验室室主任等对评价结果进行分析， 从中总结检验检测工作中值得肯定的方面和需要进一步改进的方面。</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技术负责人负责组织总结本站参加能力验证工作情况，提出本站下一步技术运作的发展和质量监控规划，输入管理评审。</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"https://pqsuhhq8yu6.feishu.cn/wiki/JK51wue0wi9bUwkj67Tc5Qe6nZv" \h </w:instrText>
      </w:r>
      <w:r>
        <w:fldChar w:fldCharType="separate"/>
      </w:r>
      <w:r>
        <w:rPr>
          <w:color w:val="000000" w:themeColor="text1"/>
          <w14:textFill>
            <w14:solidFill>
              <w14:schemeClr w14:val="tx1"/>
            </w14:solidFill>
          </w14:textFill>
        </w:rPr>
        <w:t xml:space="preserve">ZJZ/CX-17 纠正和纠正措施程序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"https://pqsuhhq8yu6.feishu.cn/wiki/EwoTwFjyUikY5nk3rgac0xqGnkc" \h </w:instrText>
      </w:r>
      <w:r>
        <w:fldChar w:fldCharType="separate"/>
      </w:r>
      <w:r>
        <w:rPr>
          <w:color w:val="000000" w:themeColor="text1"/>
          <w14:textFill>
            <w14:solidFill>
              <w14:schemeClr w14:val="tx1"/>
            </w14:solidFill>
          </w14:textFill>
        </w:rPr>
        <w:t xml:space="preserve">ZJZ/CX-26 样品管理程序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"https://pqsuhhq8yu6.feishu.cn/wiki/MUFkwNFJRi2N0RkIMYtc3Sjcnke" \h </w:instrText>
      </w:r>
      <w:r>
        <w:fldChar w:fldCharType="separate"/>
      </w:r>
      <w:r>
        <w:rPr>
          <w:color w:val="000000" w:themeColor="text1"/>
          <w14:textFill>
            <w14:solidFill>
              <w14:schemeClr w14:val="tx1"/>
            </w14:solidFill>
          </w14:textFill>
        </w:rPr>
        <w:t xml:space="preserve">ZJZ/JL 27-1 ****年度质量控制计划表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52" w:name="_Toc14875"/>
      <w:r>
        <w:rPr>
          <w:color w:val="000000" w:themeColor="text1"/>
          <w14:textFill>
            <w14:solidFill>
              <w14:schemeClr w14:val="tx1"/>
            </w14:solidFill>
          </w14:textFill>
        </w:rPr>
        <w:t xml:space="preserve">ZJZ/CX-29 结果报告管理程序</w:t>
      </w:r>
      <w:bookmarkEnd w:id="52"/>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为了确保实验室准确、清晰、明确和客观地出具结果报告，保证结果报告所包含的信息符合客户、检验检测方法的要求。</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本程序适用本站出具的检验检测报告的编制、审核、批准、更改和保存管理。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授权签字人/报告批准人：负责审核、批准和签发授权签字领域内的检验检测报告。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检验检测人员：负责检验检测报告的编制、校核。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校核人：负责对原始记录和检验/检测报告的数据和信息的校核，确保原始记录和检验/检测报告的数据和信息的一致性和完整性。</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审核人：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资料管理员：负责检验检测报告的接收、形式审核、发送和保存。</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报告的编制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检验检测项目负责人是报告编制的责任人。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实验室室主任根据技术标准要求、</w:t>
      </w:r>
      <w:r>
        <w:fldChar w:fldCharType="begin"/>
      </w:r>
      <w:r>
        <w:instrText xml:space="preserve"> HYPERLINK "https://pqsuhhq8yu6.feishu.cn/wiki/TVUWwo6LziUuK0kKnk0cX2Nznsf" \h </w:instrText>
      </w:r>
      <w:r>
        <w:fldChar w:fldCharType="separate"/>
      </w:r>
      <w:r>
        <w:rPr>
          <w:color w:val="000000" w:themeColor="text1"/>
          <w14:textFill>
            <w14:solidFill>
              <w14:schemeClr w14:val="tx1"/>
            </w14:solidFill>
          </w14:textFill>
        </w:rPr>
        <w:t xml:space="preserve">检验检测机构资质认定评审准则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和</w:t>
      </w:r>
      <w:r>
        <w:fldChar w:fldCharType="begin"/>
      </w:r>
      <w:r>
        <w:instrText xml:space="preserve"> HYPERLINK "https://pqsuhhq8yu6.feishu.cn/wiki/N0d2wUb8qiJMlkk0oAYcJoGxnRb" \h </w:instrText>
      </w:r>
      <w:r>
        <w:fldChar w:fldCharType="separate"/>
      </w:r>
      <w:r>
        <w:rPr>
          <w:color w:val="000000" w:themeColor="text1"/>
          <w14:textFill>
            <w14:solidFill>
              <w14:schemeClr w14:val="tx1"/>
            </w14:solidFill>
          </w14:textFill>
        </w:rPr>
        <w:t xml:space="preserve">RB/T 214-2017 检验检测机构资质认定能力评价 检验检测机构通用要求</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要求组织编制本站检验/检测报告的格式，确保其中包含有足够的信息量，以满足客户的要求。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检验/检测报告格式的变更须按</w:t>
      </w: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的要求经批准后方可采用。报告应至少包括下列信息：</w:t>
      </w:r>
      <w:r>
        <w:rPr>
          <w:color w:val="000000" w:themeColor="text1"/>
          <w14:textFill>
            <w14:solidFill>
              <w14:schemeClr w14:val="tx1"/>
            </w14:solidFill>
          </w14:textFill>
        </w:rPr>
      </w:r>
    </w:p>
    <w:p>
      <w:pPr>
        <w:pStyle w:val="1996"/>
        <w:numPr>
          <w:ilvl w:val="0"/>
          <w:numId w:val="43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标题 ；</w:t>
      </w:r>
      <w:r>
        <w:rPr>
          <w:color w:val="000000" w:themeColor="text1"/>
          <w14:textFill>
            <w14:solidFill>
              <w14:schemeClr w14:val="tx1"/>
            </w14:solidFill>
          </w14:textFill>
        </w:rPr>
      </w:r>
    </w:p>
    <w:p>
      <w:pPr>
        <w:pStyle w:val="1996"/>
        <w:numPr>
          <w:ilvl w:val="0"/>
          <w:numId w:val="43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标注资质认定标志 ，加盖检验检测专用章；</w:t>
      </w:r>
      <w:r>
        <w:rPr>
          <w:color w:val="000000" w:themeColor="text1"/>
          <w14:textFill>
            <w14:solidFill>
              <w14:schemeClr w14:val="tx1"/>
            </w14:solidFill>
          </w14:textFill>
        </w:rPr>
      </w:r>
    </w:p>
    <w:p>
      <w:pPr>
        <w:pStyle w:val="1996"/>
        <w:numPr>
          <w:ilvl w:val="0"/>
          <w:numId w:val="44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检验检测机构的名称和地址，检验检测的地点；</w:t>
      </w:r>
      <w:r>
        <w:rPr>
          <w:color w:val="000000" w:themeColor="text1"/>
          <w14:textFill>
            <w14:solidFill>
              <w14:schemeClr w14:val="tx1"/>
            </w14:solidFill>
          </w14:textFill>
        </w:rPr>
      </w:r>
    </w:p>
    <w:p>
      <w:pPr>
        <w:pStyle w:val="1996"/>
        <w:numPr>
          <w:ilvl w:val="0"/>
          <w:numId w:val="44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检验检测报告的唯一性标识和每一页上的标识，以确保能够识别该页是属于检验检测报告的一部分，以及表明检验检测报告结束的清晰标识；</w:t>
      </w:r>
      <w:r>
        <w:rPr>
          <w:color w:val="000000" w:themeColor="text1"/>
          <w14:textFill>
            <w14:solidFill>
              <w14:schemeClr w14:val="tx1"/>
            </w14:solidFill>
          </w14:textFill>
        </w:rPr>
      </w:r>
    </w:p>
    <w:p>
      <w:pPr>
        <w:pStyle w:val="1996"/>
        <w:numPr>
          <w:ilvl w:val="0"/>
          <w:numId w:val="44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客户的名称和联系信息；</w:t>
      </w:r>
      <w:r>
        <w:rPr>
          <w:color w:val="000000" w:themeColor="text1"/>
          <w14:textFill>
            <w14:solidFill>
              <w14:schemeClr w14:val="tx1"/>
            </w14:solidFill>
          </w14:textFill>
        </w:rPr>
      </w:r>
    </w:p>
    <w:p>
      <w:pPr>
        <w:pStyle w:val="1996"/>
        <w:numPr>
          <w:ilvl w:val="0"/>
          <w:numId w:val="44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所用检验检测方法的识别 ；</w:t>
      </w:r>
      <w:r>
        <w:rPr>
          <w:color w:val="000000" w:themeColor="text1"/>
          <w14:textFill>
            <w14:solidFill>
              <w14:schemeClr w14:val="tx1"/>
            </w14:solidFill>
          </w14:textFill>
        </w:rPr>
      </w:r>
    </w:p>
    <w:p>
      <w:pPr>
        <w:pStyle w:val="1996"/>
        <w:numPr>
          <w:ilvl w:val="0"/>
          <w:numId w:val="44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检验检测样品的描述 、状态和标识；</w:t>
      </w:r>
      <w:r>
        <w:rPr>
          <w:color w:val="000000" w:themeColor="text1"/>
          <w14:textFill>
            <w14:solidFill>
              <w14:schemeClr w14:val="tx1"/>
            </w14:solidFill>
          </w14:textFill>
        </w:rPr>
      </w:r>
    </w:p>
    <w:p>
      <w:pPr>
        <w:pStyle w:val="1996"/>
        <w:numPr>
          <w:ilvl w:val="0"/>
          <w:numId w:val="44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检验检测的日期。对检验检测结果的有效性和应用有重大影响时，注明样品的接收日期；</w:t>
      </w:r>
      <w:r>
        <w:rPr>
          <w:color w:val="000000" w:themeColor="text1"/>
          <w14:textFill>
            <w14:solidFill>
              <w14:schemeClr w14:val="tx1"/>
            </w14:solidFill>
          </w14:textFill>
        </w:rPr>
      </w:r>
    </w:p>
    <w:p>
      <w:pPr>
        <w:pStyle w:val="1996"/>
        <w:numPr>
          <w:ilvl w:val="0"/>
          <w:numId w:val="44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对检验检测结果的有效性或应用有影响时，提供检验检测机构或其他机构所用的采样程序的说明；</w:t>
      </w:r>
      <w:r>
        <w:rPr>
          <w:color w:val="000000" w:themeColor="text1"/>
          <w14:textFill>
            <w14:solidFill>
              <w14:schemeClr w14:val="tx1"/>
            </w14:solidFill>
          </w14:textFill>
        </w:rPr>
      </w:r>
    </w:p>
    <w:p>
      <w:pPr>
        <w:pStyle w:val="1996"/>
        <w:numPr>
          <w:ilvl w:val="0"/>
          <w:numId w:val="44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检验检测报告签发人的姓名、签字或等效的标识和签发日期；</w:t>
      </w:r>
      <w:r>
        <w:rPr>
          <w:color w:val="000000" w:themeColor="text1"/>
          <w14:textFill>
            <w14:solidFill>
              <w14:schemeClr w14:val="tx1"/>
            </w14:solidFill>
          </w14:textFill>
        </w:rPr>
      </w:r>
    </w:p>
    <w:p>
      <w:pPr>
        <w:pStyle w:val="1996"/>
        <w:numPr>
          <w:ilvl w:val="0"/>
          <w:numId w:val="44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检验检测结果的测量单位（适用时）；</w:t>
      </w:r>
      <w:r>
        <w:rPr>
          <w:color w:val="000000" w:themeColor="text1"/>
          <w14:textFill>
            <w14:solidFill>
              <w14:schemeClr w14:val="tx1"/>
            </w14:solidFill>
          </w14:textFill>
        </w:rPr>
      </w:r>
    </w:p>
    <w:p>
      <w:pPr>
        <w:pStyle w:val="1996"/>
        <w:numPr>
          <w:ilvl w:val="0"/>
          <w:numId w:val="44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检验检测机构不负责抽样（如样品是由客户提供）时，应在报告中声明结果仅适用于客户提供的样品；</w:t>
      </w:r>
      <w:r>
        <w:rPr>
          <w:color w:val="000000" w:themeColor="text1"/>
          <w14:textFill>
            <w14:solidFill>
              <w14:schemeClr w14:val="tx1"/>
            </w14:solidFill>
          </w14:textFill>
        </w:rPr>
      </w:r>
    </w:p>
    <w:p>
      <w:pPr>
        <w:pStyle w:val="1996"/>
        <w:numPr>
          <w:ilvl w:val="0"/>
          <w:numId w:val="45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检验检测结果来自于外部提供者时的清晰标注；</w:t>
      </w:r>
      <w:r>
        <w:rPr>
          <w:color w:val="000000" w:themeColor="text1"/>
          <w14:textFill>
            <w14:solidFill>
              <w14:schemeClr w14:val="tx1"/>
            </w14:solidFill>
          </w14:textFill>
        </w:rPr>
      </w:r>
    </w:p>
    <w:p>
      <w:pPr>
        <w:pStyle w:val="1996"/>
        <w:numPr>
          <w:ilvl w:val="0"/>
          <w:numId w:val="45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检验检测机构应做出未经本机构批准，不得复制（全文复制除外）报告的声明。</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除4.1.3条款所列要求之外，当检测结果需要时，检验/检测报告还应包含以下信息：</w:t>
      </w:r>
      <w:r>
        <w:rPr>
          <w:color w:val="000000" w:themeColor="text1"/>
          <w14:textFill>
            <w14:solidFill>
              <w14:schemeClr w14:val="tx1"/>
            </w14:solidFill>
          </w14:textFill>
        </w:rPr>
      </w:r>
    </w:p>
    <w:p>
      <w:pPr>
        <w:pStyle w:val="1996"/>
        <w:numPr>
          <w:ilvl w:val="0"/>
          <w:numId w:val="45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特定的检测条件信息，如环境条件；</w:t>
      </w:r>
      <w:r>
        <w:rPr>
          <w:color w:val="000000" w:themeColor="text1"/>
          <w14:textFill>
            <w14:solidFill>
              <w14:schemeClr w14:val="tx1"/>
            </w14:solidFill>
          </w14:textFill>
        </w:rPr>
      </w:r>
    </w:p>
    <w:p>
      <w:pPr>
        <w:pStyle w:val="1996"/>
        <w:numPr>
          <w:ilvl w:val="0"/>
          <w:numId w:val="45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相关时，与要求或规范的符合性声明；</w:t>
      </w:r>
      <w:r>
        <w:rPr>
          <w:color w:val="000000" w:themeColor="text1"/>
          <w14:textFill>
            <w14:solidFill>
              <w14:schemeClr w14:val="tx1"/>
            </w14:solidFill>
          </w14:textFill>
        </w:rPr>
      </w:r>
    </w:p>
    <w:p>
      <w:pPr>
        <w:pStyle w:val="1996"/>
        <w:numPr>
          <w:ilvl w:val="0"/>
          <w:numId w:val="45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适用时，在下列情况下，带有与被测量相同单位的测量不确定度或被测量相对形式的测量不确定度（如百分比）：</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——测量不确定度与检测结果的有效性或应用相关时；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——客户有要求时；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——测量不确定度影响与规范限的符合性时。</w:t>
      </w:r>
      <w:r>
        <w:rPr>
          <w:color w:val="000000" w:themeColor="text1"/>
          <w14:textFill>
            <w14:solidFill>
              <w14:schemeClr w14:val="tx1"/>
            </w14:solidFill>
          </w14:textFill>
        </w:rPr>
      </w:r>
    </w:p>
    <w:p>
      <w:pPr>
        <w:pStyle w:val="1996"/>
        <w:numPr>
          <w:ilvl w:val="0"/>
          <w:numId w:val="45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适当时，意见和解释；</w:t>
      </w:r>
      <w:r>
        <w:rPr>
          <w:color w:val="000000" w:themeColor="text1"/>
          <w14:textFill>
            <w14:solidFill>
              <w14:schemeClr w14:val="tx1"/>
            </w14:solidFill>
          </w14:textFill>
        </w:rPr>
      </w:r>
    </w:p>
    <w:p>
      <w:pPr>
        <w:pStyle w:val="1996"/>
        <w:numPr>
          <w:ilvl w:val="0"/>
          <w:numId w:val="45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特定方法、法定管理机构或客户要求的其他信息。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如果实验室负责抽样活动，除4.1.1条款中的要求外，当报告结果需要时，报告还应包含以下信息：</w:t>
      </w:r>
      <w:r>
        <w:rPr>
          <w:color w:val="000000" w:themeColor="text1"/>
          <w14:textFill>
            <w14:solidFill>
              <w14:schemeClr w14:val="tx1"/>
            </w14:solidFill>
          </w14:textFill>
        </w:rPr>
      </w:r>
    </w:p>
    <w:p>
      <w:pPr>
        <w:pStyle w:val="1996"/>
        <w:numPr>
          <w:ilvl w:val="0"/>
          <w:numId w:val="45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抽样日期；</w:t>
      </w:r>
      <w:r>
        <w:rPr>
          <w:color w:val="000000" w:themeColor="text1"/>
          <w14:textFill>
            <w14:solidFill>
              <w14:schemeClr w14:val="tx1"/>
            </w14:solidFill>
          </w14:textFill>
        </w:rPr>
      </w:r>
    </w:p>
    <w:p>
      <w:pPr>
        <w:pStyle w:val="1996"/>
        <w:numPr>
          <w:ilvl w:val="0"/>
          <w:numId w:val="45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抽取的物品或物质的唯一性标识（适当时，包括制造商的名称、标示的型号或类型以及序列号）；</w:t>
      </w:r>
      <w:r>
        <w:rPr>
          <w:color w:val="000000" w:themeColor="text1"/>
          <w14:textFill>
            <w14:solidFill>
              <w14:schemeClr w14:val="tx1"/>
            </w14:solidFill>
          </w14:textFill>
        </w:rPr>
      </w:r>
    </w:p>
    <w:p>
      <w:pPr>
        <w:pStyle w:val="1996"/>
        <w:numPr>
          <w:ilvl w:val="0"/>
          <w:numId w:val="45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抽样位置，包括图示、草图或照片；</w:t>
      </w:r>
      <w:r>
        <w:rPr>
          <w:color w:val="000000" w:themeColor="text1"/>
          <w14:textFill>
            <w14:solidFill>
              <w14:schemeClr w14:val="tx1"/>
            </w14:solidFill>
          </w14:textFill>
        </w:rPr>
      </w:r>
    </w:p>
    <w:p>
      <w:pPr>
        <w:pStyle w:val="1996"/>
        <w:numPr>
          <w:ilvl w:val="0"/>
          <w:numId w:val="46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抽样计划和抽样方法；</w:t>
      </w:r>
      <w:r>
        <w:rPr>
          <w:color w:val="000000" w:themeColor="text1"/>
          <w14:textFill>
            <w14:solidFill>
              <w14:schemeClr w14:val="tx1"/>
            </w14:solidFill>
          </w14:textFill>
        </w:rPr>
      </w:r>
    </w:p>
    <w:p>
      <w:pPr>
        <w:pStyle w:val="1996"/>
        <w:numPr>
          <w:ilvl w:val="0"/>
          <w:numId w:val="46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抽样过程中影响结果解释的环境条件的详细信息；</w:t>
      </w:r>
      <w:r>
        <w:rPr>
          <w:color w:val="000000" w:themeColor="text1"/>
          <w14:textFill>
            <w14:solidFill>
              <w14:schemeClr w14:val="tx1"/>
            </w14:solidFill>
          </w14:textFill>
        </w:rPr>
      </w:r>
    </w:p>
    <w:p>
      <w:pPr>
        <w:pStyle w:val="1996"/>
        <w:numPr>
          <w:ilvl w:val="0"/>
          <w:numId w:val="46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评定后续检测或校准测量不确定度所需的信息。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4.1.6 实验检测人员填写检验检测原始记录，按照经审批的报告格式编制检验检测报告并签字，编制人对报告和原始记录的一致性负责，不得擅自变更检测数据。报告编制人应注意以下填写要求：</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shd w:val="clear" w:color="auto" w:fill="fff5eb"/>
            <w:tcBorders/>
            <w:tcMar>
              <w:left w:w="120" w:type="dxa"/>
              <w:top w:w="60" w:type="dxa"/>
              <w:right w:w="120" w:type="dxa"/>
              <w:bottom w:w="30" w:type="dxa"/>
            </w:tcMar>
            <w:tcW w:w="8280" w:type="dxa"/>
            <w:textDirection w:val="lrTb"/>
            <w:noWrap w:val="false"/>
          </w:tcPr>
          <w:p>
            <w:pPr>
              <w:pStyle w:val="1996"/>
              <w:keepNext w:val="false"/>
              <w:keepLines w:val="false"/>
              <w:numPr>
                <w:ilvl w:val="0"/>
                <w:numId w:val="46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检测前后应对被测样品和仪器设备进行检查，并填写相应记录。</w:t>
            </w:r>
            <w:r>
              <w:rPr>
                <w:rFonts w:hint="default"/>
                <w:color w:val="000000" w:themeColor="text1"/>
                <w14:textFill>
                  <w14:solidFill>
                    <w14:schemeClr w14:val="tx1"/>
                  </w14:solidFill>
                </w14:textFill>
              </w:rPr>
            </w:r>
          </w:p>
          <w:p>
            <w:pPr>
              <w:pStyle w:val="1996"/>
              <w:keepNext w:val="false"/>
              <w:keepLines w:val="false"/>
              <w:numPr>
                <w:ilvl w:val="0"/>
                <w:numId w:val="46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检测过程中分析条件、仪器、样品或操作等应符合方法标准要求；应对检验检测方法中规定的量化步骤进行了详细记录。</w:t>
            </w:r>
            <w:r>
              <w:rPr>
                <w:rFonts w:hint="default"/>
                <w:color w:val="000000" w:themeColor="text1"/>
                <w14:textFill>
                  <w14:solidFill>
                    <w14:schemeClr w14:val="tx1"/>
                  </w14:solidFill>
                </w14:textFill>
              </w:rPr>
            </w:r>
          </w:p>
          <w:p>
            <w:pPr>
              <w:pStyle w:val="1996"/>
              <w:keepNext w:val="false"/>
              <w:keepLines w:val="false"/>
              <w:numPr>
                <w:ilvl w:val="0"/>
                <w:numId w:val="46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检验检测过程中使用的计量器具、化学试剂等应与方法标准中规定的一致。</w:t>
            </w:r>
            <w:r>
              <w:rPr>
                <w:rFonts w:hint="default"/>
                <w:color w:val="000000" w:themeColor="text1"/>
                <w14:textFill>
                  <w14:solidFill>
                    <w14:schemeClr w14:val="tx1"/>
                  </w14:solidFill>
                </w14:textFill>
              </w:rPr>
            </w:r>
          </w:p>
          <w:p>
            <w:pPr>
              <w:pStyle w:val="1996"/>
              <w:keepNext w:val="false"/>
              <w:keepLines w:val="false"/>
              <w:numPr>
                <w:ilvl w:val="0"/>
                <w:numId w:val="46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对异常检测数据进行分析，查找原因。</w:t>
            </w:r>
            <w:r>
              <w:rPr>
                <w:rFonts w:hint="default"/>
                <w:color w:val="000000" w:themeColor="text1"/>
                <w14:textFill>
                  <w14:solidFill>
                    <w14:schemeClr w14:val="tx1"/>
                  </w14:solidFill>
                </w14:textFill>
              </w:rPr>
            </w:r>
          </w:p>
          <w:p>
            <w:pPr>
              <w:pStyle w:val="1996"/>
              <w:keepNext w:val="false"/>
              <w:keepLines w:val="false"/>
              <w:numPr>
                <w:ilvl w:val="0"/>
                <w:numId w:val="46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特殊实验过程读取的数据必须互读或互查。</w:t>
            </w:r>
            <w:r>
              <w:rPr>
                <w:rFonts w:hint="default"/>
                <w:color w:val="000000" w:themeColor="text1"/>
                <w14:textFill>
                  <w14:solidFill>
                    <w14:schemeClr w14:val="tx1"/>
                  </w14:solidFill>
                </w14:textFill>
              </w:rPr>
            </w:r>
          </w:p>
          <w:p>
            <w:pPr>
              <w:pStyle w:val="1996"/>
              <w:keepNext w:val="false"/>
              <w:keepLines w:val="false"/>
              <w:numPr>
                <w:ilvl w:val="0"/>
                <w:numId w:val="468"/>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检测数据的有效位数应与方法或技术标准要求相符，数值修约按GB 8170执行。当方法标准中对修约有特殊要求时，按方法标准执行。</w:t>
            </w:r>
            <w:r>
              <w:rPr>
                <w:rFonts w:hint="default"/>
                <w:color w:val="000000" w:themeColor="text1"/>
                <w14:textFill>
                  <w14:solidFill>
                    <w14:schemeClr w14:val="tx1"/>
                  </w14:solidFill>
                </w14:textFill>
              </w:rPr>
            </w:r>
          </w:p>
          <w:p>
            <w:pPr>
              <w:pStyle w:val="1996"/>
              <w:keepNext w:val="false"/>
              <w:keepLines w:val="false"/>
              <w:numPr>
                <w:ilvl w:val="0"/>
                <w:numId w:val="469"/>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检测原始记录及报告格式应与《检测原始记录汇编》及《检测报告格式汇编》一致。</w:t>
            </w:r>
            <w:r>
              <w:rPr>
                <w:rFonts w:hint="default"/>
                <w:color w:val="000000" w:themeColor="text1"/>
                <w14:textFill>
                  <w14:solidFill>
                    <w14:schemeClr w14:val="tx1"/>
                  </w14:solidFill>
                </w14:textFill>
              </w:rPr>
            </w:r>
          </w:p>
          <w:p>
            <w:pPr>
              <w:pStyle w:val="1996"/>
              <w:keepNext w:val="false"/>
              <w:keepLines w:val="false"/>
              <w:numPr>
                <w:ilvl w:val="0"/>
                <w:numId w:val="470"/>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样品的基础数据应与清单一致，检测原始数据与分析报告数据应一致，检测值计算的正确性，报告内容应正确、完整规范。</w:t>
            </w:r>
            <w:r>
              <w:rPr>
                <w:rFonts w:hint="default"/>
                <w:color w:val="000000" w:themeColor="text1"/>
                <w14:textFill>
                  <w14:solidFill>
                    <w14:schemeClr w14:val="tx1"/>
                  </w14:solidFill>
                </w14:textFill>
              </w:rPr>
            </w:r>
          </w:p>
          <w:p>
            <w:pPr>
              <w:pStyle w:val="1996"/>
              <w:keepNext w:val="false"/>
              <w:keepLines w:val="false"/>
              <w:numPr>
                <w:ilvl w:val="0"/>
                <w:numId w:val="471"/>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数据修改应按《文件控制程序》执行。</w:t>
            </w:r>
            <w:r>
              <w:rPr>
                <w:rFonts w:hint="default"/>
                <w:color w:val="000000" w:themeColor="text1"/>
                <w14:textFill>
                  <w14:solidFill>
                    <w14:schemeClr w14:val="tx1"/>
                  </w14:solidFill>
                </w14:textFill>
              </w:rPr>
            </w:r>
          </w:p>
          <w:p>
            <w:pPr>
              <w:pStyle w:val="1996"/>
              <w:keepNext w:val="false"/>
              <w:keepLines w:val="false"/>
              <w:numPr>
                <w:ilvl w:val="0"/>
                <w:numId w:val="472"/>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应在检测周期内完成样品检测。</w:t>
            </w:r>
            <w:r>
              <w:rPr>
                <w:rFonts w:hint="default"/>
                <w:color w:val="000000" w:themeColor="text1"/>
                <w14:textFill>
                  <w14:solidFill>
                    <w14:schemeClr w14:val="tx1"/>
                  </w14:solidFill>
                </w14:textFill>
              </w:rPr>
            </w:r>
          </w:p>
          <w:p>
            <w:pPr>
              <w:pStyle w:val="1996"/>
              <w:keepNext w:val="false"/>
              <w:keepLines w:val="false"/>
              <w:numPr>
                <w:ilvl w:val="0"/>
                <w:numId w:val="47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计量器具的校正因子或修正值应有效使用。</w:t>
            </w:r>
            <w:r>
              <w:rPr>
                <w:rFonts w:hint="default"/>
                <w:color w:val="000000" w:themeColor="text1"/>
                <w14:textFill>
                  <w14:solidFill>
                    <w14:schemeClr w14:val="tx1"/>
                  </w14:solidFill>
                </w14:textFill>
              </w:rPr>
            </w:r>
          </w:p>
          <w:p>
            <w:pPr>
              <w:pStyle w:val="1996"/>
              <w:keepNext w:val="false"/>
              <w:keepLines w:val="false"/>
              <w:numPr>
                <w:ilvl w:val="0"/>
                <w:numId w:val="47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应规范填写设备设施记录、设备运行记录、试剂使用记录、标准物质使用记录、标准溶液配制记录、环境条件控制记录等。</w:t>
            </w:r>
            <w:r>
              <w:rPr>
                <w:rFonts w:hint="default"/>
                <w:color w:val="000000" w:themeColor="text1"/>
                <w14:textFill>
                  <w14:solidFill>
                    <w14:schemeClr w14:val="tx1"/>
                  </w14:solidFill>
                </w14:textFill>
              </w:rPr>
            </w:r>
          </w:p>
          <w:p>
            <w:pPr>
              <w:pStyle w:val="1996"/>
              <w:keepNext w:val="false"/>
              <w:keepLines w:val="false"/>
              <w:numPr>
                <w:ilvl w:val="0"/>
                <w:numId w:val="47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应确保使用的方法标准现行有效。</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报告的校核与审核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校核人对原始记录和检验/检测报告的数据和信息的校核，主要从以下方面对数据开展校核，确保原始记录和检验/检测报告的数据和信息的一致性和完整性。</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shd w:val="clear" w:color="auto" w:fill="fff5eb"/>
            <w:tcBorders/>
            <w:tcMar>
              <w:left w:w="120" w:type="dxa"/>
              <w:top w:w="60" w:type="dxa"/>
              <w:right w:w="120" w:type="dxa"/>
              <w:bottom w:w="30" w:type="dxa"/>
            </w:tcMar>
            <w:tcW w:w="8280" w:type="dxa"/>
            <w:textDirection w:val="lrTb"/>
            <w:noWrap w:val="false"/>
          </w:tcPr>
          <w:p>
            <w:pPr>
              <w:pStyle w:val="1996"/>
              <w:keepNext w:val="false"/>
              <w:keepLines w:val="false"/>
              <w:numPr>
                <w:ilvl w:val="0"/>
                <w:numId w:val="47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校核检测前后是否对被测样品和仪器设备进行检查，并填写相应记录。</w:t>
            </w:r>
            <w:r>
              <w:rPr>
                <w:rFonts w:hint="default"/>
                <w:color w:val="000000" w:themeColor="text1"/>
                <w14:textFill>
                  <w14:solidFill>
                    <w14:schemeClr w14:val="tx1"/>
                  </w14:solidFill>
                </w14:textFill>
              </w:rPr>
            </w:r>
          </w:p>
          <w:p>
            <w:pPr>
              <w:pStyle w:val="1996"/>
              <w:keepNext w:val="false"/>
              <w:keepLines w:val="false"/>
              <w:numPr>
                <w:ilvl w:val="0"/>
                <w:numId w:val="47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校核检测过程分析条件、仪器、样品及操作等是否符合方法标准要求；是否对检验检测方法中规定的量化步骤进行详细记录。</w:t>
            </w:r>
            <w:r>
              <w:rPr>
                <w:rFonts w:hint="default"/>
                <w:color w:val="000000" w:themeColor="text1"/>
                <w14:textFill>
                  <w14:solidFill>
                    <w14:schemeClr w14:val="tx1"/>
                  </w14:solidFill>
                </w14:textFill>
              </w:rPr>
            </w:r>
          </w:p>
          <w:p>
            <w:pPr>
              <w:pStyle w:val="1996"/>
              <w:keepNext w:val="false"/>
              <w:keepLines w:val="false"/>
              <w:numPr>
                <w:ilvl w:val="0"/>
                <w:numId w:val="478"/>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校核检验检测过程中使用的计量器具、化学试剂等是否与方法标准中规定一致。</w:t>
            </w:r>
            <w:r>
              <w:rPr>
                <w:rFonts w:hint="default"/>
                <w:color w:val="000000" w:themeColor="text1"/>
                <w14:textFill>
                  <w14:solidFill>
                    <w14:schemeClr w14:val="tx1"/>
                  </w14:solidFill>
                </w14:textFill>
              </w:rPr>
            </w:r>
          </w:p>
          <w:p>
            <w:pPr>
              <w:pStyle w:val="1996"/>
              <w:keepNext w:val="false"/>
              <w:keepLines w:val="false"/>
              <w:numPr>
                <w:ilvl w:val="0"/>
                <w:numId w:val="479"/>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校核是否对异常检测数据进行分析，查找原因。</w:t>
            </w:r>
            <w:r>
              <w:rPr>
                <w:rFonts w:hint="default"/>
                <w:color w:val="000000" w:themeColor="text1"/>
                <w14:textFill>
                  <w14:solidFill>
                    <w14:schemeClr w14:val="tx1"/>
                  </w14:solidFill>
                </w14:textFill>
              </w:rPr>
            </w:r>
          </w:p>
          <w:p>
            <w:pPr>
              <w:pStyle w:val="1996"/>
              <w:keepNext w:val="false"/>
              <w:keepLines w:val="false"/>
              <w:numPr>
                <w:ilvl w:val="0"/>
                <w:numId w:val="480"/>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校核特殊实验过程读取数据是否进行互读或互查。</w:t>
            </w:r>
            <w:r>
              <w:rPr>
                <w:rFonts w:hint="default"/>
                <w:color w:val="000000" w:themeColor="text1"/>
                <w14:textFill>
                  <w14:solidFill>
                    <w14:schemeClr w14:val="tx1"/>
                  </w14:solidFill>
                </w14:textFill>
              </w:rPr>
            </w:r>
          </w:p>
          <w:p>
            <w:pPr>
              <w:pStyle w:val="1996"/>
              <w:keepNext w:val="false"/>
              <w:keepLines w:val="false"/>
              <w:numPr>
                <w:ilvl w:val="0"/>
                <w:numId w:val="481"/>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校核检测数据的有效位数应是否与方法或技术标准要求相符，数值修约是否按GB 8170执行。当方法标准中对修约有特殊要求时，是否按方法标准执行。</w:t>
            </w:r>
            <w:r>
              <w:rPr>
                <w:rFonts w:hint="default"/>
                <w:color w:val="000000" w:themeColor="text1"/>
                <w14:textFill>
                  <w14:solidFill>
                    <w14:schemeClr w14:val="tx1"/>
                  </w14:solidFill>
                </w14:textFill>
              </w:rPr>
            </w:r>
          </w:p>
          <w:p>
            <w:pPr>
              <w:pStyle w:val="1996"/>
              <w:keepNext w:val="false"/>
              <w:keepLines w:val="false"/>
              <w:numPr>
                <w:ilvl w:val="0"/>
                <w:numId w:val="482"/>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校核检测原始记录及报告格式是否与《检测原始记录汇编》及《检测报告格式汇编》一致。</w:t>
            </w:r>
            <w:r>
              <w:rPr>
                <w:rFonts w:hint="default"/>
                <w:color w:val="000000" w:themeColor="text1"/>
                <w14:textFill>
                  <w14:solidFill>
                    <w14:schemeClr w14:val="tx1"/>
                  </w14:solidFill>
                </w14:textFill>
              </w:rPr>
            </w:r>
          </w:p>
          <w:p>
            <w:pPr>
              <w:pStyle w:val="1996"/>
              <w:keepNext w:val="false"/>
              <w:keepLines w:val="false"/>
              <w:numPr>
                <w:ilvl w:val="0"/>
                <w:numId w:val="48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校核样品的基础数据是否与清单一致，检测原始数据是否与分析报告数据应一致，检测值计算是否正确，报告内容是否正确、完整规范。</w:t>
            </w:r>
            <w:r>
              <w:rPr>
                <w:rFonts w:hint="default"/>
                <w:color w:val="000000" w:themeColor="text1"/>
                <w14:textFill>
                  <w14:solidFill>
                    <w14:schemeClr w14:val="tx1"/>
                  </w14:solidFill>
                </w14:textFill>
              </w:rPr>
            </w:r>
          </w:p>
          <w:p>
            <w:pPr>
              <w:pStyle w:val="1996"/>
              <w:keepNext w:val="false"/>
              <w:keepLines w:val="false"/>
              <w:numPr>
                <w:ilvl w:val="0"/>
                <w:numId w:val="48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校核数据修改是否按《文件控制程序》执行。</w:t>
            </w:r>
            <w:r>
              <w:rPr>
                <w:rFonts w:hint="default"/>
                <w:color w:val="000000" w:themeColor="text1"/>
                <w14:textFill>
                  <w14:solidFill>
                    <w14:schemeClr w14:val="tx1"/>
                  </w14:solidFill>
                </w14:textFill>
              </w:rPr>
            </w:r>
          </w:p>
          <w:p>
            <w:pPr>
              <w:pStyle w:val="1996"/>
              <w:keepNext w:val="false"/>
              <w:keepLines w:val="false"/>
              <w:numPr>
                <w:ilvl w:val="0"/>
                <w:numId w:val="48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校核是否在检测周期内完成样品检测。</w:t>
            </w:r>
            <w:r>
              <w:rPr>
                <w:rFonts w:hint="default"/>
                <w:color w:val="000000" w:themeColor="text1"/>
                <w14:textFill>
                  <w14:solidFill>
                    <w14:schemeClr w14:val="tx1"/>
                  </w14:solidFill>
                </w14:textFill>
              </w:rPr>
            </w:r>
          </w:p>
          <w:p>
            <w:pPr>
              <w:pStyle w:val="1996"/>
              <w:keepNext w:val="false"/>
              <w:keepLines w:val="false"/>
              <w:numPr>
                <w:ilvl w:val="0"/>
                <w:numId w:val="48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校核计量器具的校正因子或修正值是否有效使用。</w:t>
            </w:r>
            <w:r>
              <w:rPr>
                <w:rFonts w:hint="default"/>
                <w:color w:val="000000" w:themeColor="text1"/>
                <w14:textFill>
                  <w14:solidFill>
                    <w14:schemeClr w14:val="tx1"/>
                  </w14:solidFill>
                </w14:textFill>
              </w:rPr>
            </w:r>
          </w:p>
          <w:p>
            <w:pPr>
              <w:pStyle w:val="1996"/>
              <w:keepNext w:val="false"/>
              <w:keepLines w:val="false"/>
              <w:numPr>
                <w:ilvl w:val="0"/>
                <w:numId w:val="48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校核是否规范填写设备设施记录、设备运行记录、试剂使用记录、标准物质使用记录、标准溶液配制记录、环境条件控制记录等。</w:t>
            </w:r>
            <w:r>
              <w:rPr>
                <w:rFonts w:hint="default"/>
                <w:color w:val="000000" w:themeColor="text1"/>
                <w14:textFill>
                  <w14:solidFill>
                    <w14:schemeClr w14:val="tx1"/>
                  </w14:solidFill>
                </w14:textFill>
              </w:rPr>
            </w:r>
          </w:p>
          <w:p>
            <w:pPr>
              <w:pStyle w:val="1996"/>
              <w:keepNext w:val="false"/>
              <w:keepLines w:val="false"/>
              <w:numPr>
                <w:ilvl w:val="0"/>
                <w:numId w:val="488"/>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校核使用的方法标准是否现行有效。</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被授权的报告审核人负责检验/检测报告的审核工作，主要从以下方面对数据开展报告审核，发现问题或错误应由原检测人更改，核对无误后签字交授权签字人确认无误后审批签字。</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shd w:val="clear" w:color="auto" w:fill="fff5eb"/>
            <w:tcBorders/>
            <w:tcMar>
              <w:left w:w="120" w:type="dxa"/>
              <w:top w:w="60" w:type="dxa"/>
              <w:right w:w="120" w:type="dxa"/>
              <w:bottom w:w="30" w:type="dxa"/>
            </w:tcMar>
            <w:tcW w:w="8280" w:type="dxa"/>
            <w:textDirection w:val="lrTb"/>
            <w:noWrap w:val="false"/>
          </w:tcPr>
          <w:p>
            <w:pPr>
              <w:pStyle w:val="1996"/>
              <w:keepNext w:val="false"/>
              <w:keepLines w:val="false"/>
              <w:numPr>
                <w:ilvl w:val="0"/>
                <w:numId w:val="489"/>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检验检测报告和原始记录的完整性；</w:t>
            </w:r>
            <w:r>
              <w:rPr>
                <w:rFonts w:hint="default"/>
                <w:color w:val="000000" w:themeColor="text1"/>
                <w14:textFill>
                  <w14:solidFill>
                    <w14:schemeClr w14:val="tx1"/>
                  </w14:solidFill>
                </w14:textFill>
              </w:rPr>
            </w:r>
          </w:p>
          <w:p>
            <w:pPr>
              <w:pStyle w:val="1996"/>
              <w:keepNext w:val="false"/>
              <w:keepLines w:val="false"/>
              <w:numPr>
                <w:ilvl w:val="0"/>
                <w:numId w:val="490"/>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核查空白章的正确使用；</w:t>
            </w:r>
            <w:r>
              <w:rPr>
                <w:rFonts w:hint="default"/>
                <w:color w:val="000000" w:themeColor="text1"/>
                <w14:textFill>
                  <w14:solidFill>
                    <w14:schemeClr w14:val="tx1"/>
                  </w14:solidFill>
                </w14:textFill>
              </w:rPr>
            </w:r>
          </w:p>
          <w:p>
            <w:pPr>
              <w:pStyle w:val="1996"/>
              <w:keepNext w:val="false"/>
              <w:keepLines w:val="false"/>
              <w:numPr>
                <w:ilvl w:val="0"/>
                <w:numId w:val="491"/>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检验依据标准文本的有效性（标准查新）和正确性；</w:t>
            </w:r>
            <w:r>
              <w:rPr>
                <w:rFonts w:hint="default"/>
                <w:color w:val="000000" w:themeColor="text1"/>
                <w14:textFill>
                  <w14:solidFill>
                    <w14:schemeClr w14:val="tx1"/>
                  </w14:solidFill>
                </w14:textFill>
              </w:rPr>
            </w:r>
          </w:p>
          <w:p>
            <w:pPr>
              <w:pStyle w:val="1996"/>
              <w:keepNext w:val="false"/>
              <w:keepLines w:val="false"/>
              <w:numPr>
                <w:ilvl w:val="0"/>
                <w:numId w:val="492"/>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检测项目完整性（项目数量与委托协议书或方案一致性）；</w:t>
            </w:r>
            <w:r>
              <w:rPr>
                <w:rFonts w:hint="default"/>
                <w:color w:val="000000" w:themeColor="text1"/>
                <w14:textFill>
                  <w14:solidFill>
                    <w14:schemeClr w14:val="tx1"/>
                  </w14:solidFill>
                </w14:textFill>
              </w:rPr>
            </w:r>
          </w:p>
          <w:p>
            <w:pPr>
              <w:pStyle w:val="1996"/>
              <w:keepNext w:val="false"/>
              <w:keepLines w:val="false"/>
              <w:numPr>
                <w:ilvl w:val="0"/>
                <w:numId w:val="49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检测标准样品、平行样品的评估；</w:t>
            </w:r>
            <w:r>
              <w:rPr>
                <w:rFonts w:hint="default"/>
                <w:color w:val="000000" w:themeColor="text1"/>
                <w14:textFill>
                  <w14:solidFill>
                    <w14:schemeClr w14:val="tx1"/>
                  </w14:solidFill>
                </w14:textFill>
              </w:rPr>
            </w:r>
          </w:p>
          <w:p>
            <w:pPr>
              <w:pStyle w:val="1996"/>
              <w:keepNext w:val="false"/>
              <w:keepLines w:val="false"/>
              <w:numPr>
                <w:ilvl w:val="0"/>
                <w:numId w:val="49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检验项目中互相关联的检测值之间的匹配性、可信度；</w:t>
            </w:r>
            <w:r>
              <w:rPr>
                <w:rFonts w:hint="default"/>
                <w:color w:val="000000" w:themeColor="text1"/>
                <w14:textFill>
                  <w14:solidFill>
                    <w14:schemeClr w14:val="tx1"/>
                  </w14:solidFill>
                </w14:textFill>
              </w:rPr>
            </w:r>
          </w:p>
          <w:p>
            <w:pPr>
              <w:pStyle w:val="1996"/>
              <w:keepNext w:val="false"/>
              <w:keepLines w:val="false"/>
              <w:numPr>
                <w:ilvl w:val="0"/>
                <w:numId w:val="49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边缘值、临界值、不合格项目有无复检；复检结果与原始结果的一致性；</w:t>
            </w:r>
            <w:r>
              <w:rPr>
                <w:rFonts w:hint="default"/>
                <w:color w:val="000000" w:themeColor="text1"/>
                <w14:textFill>
                  <w14:solidFill>
                    <w14:schemeClr w14:val="tx1"/>
                  </w14:solidFill>
                </w14:textFill>
              </w:rPr>
            </w:r>
          </w:p>
          <w:p>
            <w:pPr>
              <w:pStyle w:val="1996"/>
              <w:keepNext w:val="false"/>
              <w:keepLines w:val="false"/>
              <w:numPr>
                <w:ilvl w:val="0"/>
                <w:numId w:val="49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报告中备注信息描述的全面性、合理性；</w:t>
            </w:r>
            <w:r>
              <w:rPr>
                <w:rFonts w:hint="default"/>
                <w:color w:val="000000" w:themeColor="text1"/>
                <w14:textFill>
                  <w14:solidFill>
                    <w14:schemeClr w14:val="tx1"/>
                  </w14:solidFill>
                </w14:textFill>
              </w:rPr>
            </w:r>
          </w:p>
          <w:p>
            <w:pPr>
              <w:pStyle w:val="1996"/>
              <w:keepNext w:val="false"/>
              <w:keepLines w:val="false"/>
              <w:numPr>
                <w:ilvl w:val="0"/>
                <w:numId w:val="49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检验项目单项结论和综合评价的正确性。</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报告的签发</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授权签字人/报告批准人负责对授权领域检验/检测报告的总体正确性负责，检查无误后签发报告。非授权签字人/报告批准人不得签发报告。授权签字人/报告批准人主要审核以下内容：</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shd w:val="clear" w:color="auto" w:fill="fff5eb"/>
            <w:tcBorders/>
            <w:tcMar>
              <w:left w:w="120" w:type="dxa"/>
              <w:top w:w="60" w:type="dxa"/>
              <w:right w:w="120" w:type="dxa"/>
              <w:bottom w:w="30" w:type="dxa"/>
            </w:tcMar>
            <w:tcW w:w="8280" w:type="dxa"/>
            <w:textDirection w:val="lrTb"/>
            <w:noWrap w:val="false"/>
          </w:tcPr>
          <w:p>
            <w:pPr>
              <w:pStyle w:val="1996"/>
              <w:keepNext w:val="false"/>
              <w:keepLines w:val="false"/>
              <w:numPr>
                <w:ilvl w:val="0"/>
                <w:numId w:val="498"/>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对委托书、原始记录、检验检测报告进行形式审核和技术审核。</w:t>
            </w:r>
            <w:r>
              <w:rPr>
                <w:rFonts w:hint="default"/>
                <w:color w:val="000000" w:themeColor="text1"/>
                <w14:textFill>
                  <w14:solidFill>
                    <w14:schemeClr w14:val="tx1"/>
                  </w14:solidFill>
                </w14:textFill>
              </w:rPr>
            </w:r>
          </w:p>
          <w:p>
            <w:pPr>
              <w:pStyle w:val="1996"/>
              <w:keepNext w:val="false"/>
              <w:keepLines w:val="false"/>
              <w:numPr>
                <w:ilvl w:val="0"/>
                <w:numId w:val="499"/>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对密码样品进行评估。</w:t>
            </w:r>
            <w:r>
              <w:rPr>
                <w:rFonts w:hint="default"/>
                <w:color w:val="000000" w:themeColor="text1"/>
                <w14:textFill>
                  <w14:solidFill>
                    <w14:schemeClr w14:val="tx1"/>
                  </w14:solidFill>
                </w14:textFill>
              </w:rPr>
            </w:r>
          </w:p>
          <w:p>
            <w:pPr>
              <w:pStyle w:val="1996"/>
              <w:keepNext w:val="false"/>
              <w:keepLines w:val="false"/>
              <w:numPr>
                <w:ilvl w:val="0"/>
                <w:numId w:val="500"/>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对检测数据进行规律性、关联性检查。</w:t>
            </w:r>
            <w:r>
              <w:rPr>
                <w:rFonts w:hint="default"/>
                <w:color w:val="000000" w:themeColor="text1"/>
                <w14:textFill>
                  <w14:solidFill>
                    <w14:schemeClr w14:val="tx1"/>
                  </w14:solidFill>
                </w14:textFill>
              </w:rPr>
            </w:r>
          </w:p>
          <w:p>
            <w:pPr>
              <w:pStyle w:val="1996"/>
              <w:keepNext w:val="false"/>
              <w:keepLines w:val="false"/>
              <w:numPr>
                <w:ilvl w:val="0"/>
                <w:numId w:val="501"/>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对报告符合资质认定管理办法、资质认定监督管理办法及资质认定评审准则要求的检查，严格执行《资质认定检验检测专用章使用规定》和《资质认定标志及证书使用规定》。</w:t>
            </w:r>
            <w:r>
              <w:rPr>
                <w:rFonts w:hint="default"/>
                <w:color w:val="000000" w:themeColor="text1"/>
                <w14:textFill>
                  <w14:solidFill>
                    <w14:schemeClr w14:val="tx1"/>
                  </w14:solidFill>
                </w14:textFill>
              </w:rPr>
            </w:r>
          </w:p>
          <w:p>
            <w:pPr>
              <w:pStyle w:val="1996"/>
              <w:keepNext w:val="false"/>
              <w:keepLines w:val="false"/>
              <w:numPr>
                <w:ilvl w:val="0"/>
                <w:numId w:val="502"/>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填写授权签字人报告审查表。</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授权签字人/报告批准人应在收到报告3日内完成报告审批，并填写</w:t>
      </w:r>
      <w:r>
        <w:fldChar w:fldCharType="begin"/>
      </w:r>
      <w:r>
        <w:instrText xml:space="preserve"> HYPERLINK "https://pqsuhhq8yu6.feishu.cn/wiki/BPgUwc3bhiXOKbkEIsbchNp6nzb" \h </w:instrText>
      </w:r>
      <w:r>
        <w:fldChar w:fldCharType="separate"/>
      </w:r>
      <w:r>
        <w:rPr>
          <w:color w:val="000000" w:themeColor="text1"/>
          <w14:textFill>
            <w14:solidFill>
              <w14:schemeClr w14:val="tx1"/>
            </w14:solidFill>
          </w14:textFill>
        </w:rPr>
        <w:t xml:space="preserve">ZJZ/JL29-4</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 xml:space="preserve">检验检测机构授权签字人审查报告记录</w:t>
      </w:r>
      <w:r>
        <w:rPr>
          <w:color w:val="000000" w:themeColor="text1"/>
          <w14:textFill>
            <w14:solidFill>
              <w14:schemeClr w14:val="tx1"/>
            </w14:solidFill>
          </w14:textFill>
        </w:rPr>
        <w:t xml:space="preserve">，对不批准的报告应明确指出存在问题。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报告的发放和存档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报告签发批准后，由综合管理室负责办理盖章程序。加盖CMA章的报告，应填写</w:t>
      </w:r>
      <w:r>
        <w:fldChar w:fldCharType="begin"/>
      </w:r>
      <w:r>
        <w:instrText xml:space="preserve"> HYPERLINK "https://pqsuhhq8yu6.feishu.cn/wiki/BPgUwc3bhiXOKbkEIsbchNp6nzb" \h </w:instrText>
      </w:r>
      <w:r>
        <w:fldChar w:fldCharType="separate"/>
      </w:r>
      <w:r>
        <w:rPr>
          <w:color w:val="000000" w:themeColor="text1"/>
          <w14:textFill>
            <w14:solidFill>
              <w14:schemeClr w14:val="tx1"/>
            </w14:solidFill>
          </w14:textFill>
        </w:rPr>
        <w:t xml:space="preserve">ZJZ/JL29-3CMA专用章使用登记表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当客户提出需要时，由综合管理室打印纸质版报告交付给客户，并填写</w:t>
      </w:r>
      <w:r>
        <w:fldChar w:fldCharType="begin"/>
      </w:r>
      <w:r>
        <w:instrText xml:space="preserve"> HYPERLINK "https://pqsuhhq8yu6.feishu.cn/wiki/QlSpwfBUXi9bljk80FCcXkUFntb" \h </w:instrText>
      </w:r>
      <w:r>
        <w:fldChar w:fldCharType="separate"/>
      </w:r>
      <w:r>
        <w:rPr>
          <w:color w:val="000000" w:themeColor="text1"/>
          <w14:textFill>
            <w14:solidFill>
              <w14:schemeClr w14:val="tx1"/>
            </w14:solidFill>
          </w14:textFill>
        </w:rPr>
        <w:t xml:space="preserve">ZJZ/JL 29-1 检验/检测报告发放登记</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；当客户未提出特殊需求时，由综合管理室加盖电子章后，由实验分析系统自动投送至客户账户，并按照</w:t>
      </w:r>
      <w:r>
        <w:fldChar w:fldCharType="begin"/>
      </w:r>
      <w:r>
        <w:instrText xml:space="preserve"> HYPERLINK "https://pqsuhhq8yu6.feishu.cn/wiki/QlSpwfBUXi9bljk80FCcXkUFntb" \h </w:instrText>
      </w:r>
      <w:r>
        <w:fldChar w:fldCharType="separate"/>
      </w:r>
      <w:r>
        <w:rPr>
          <w:color w:val="000000" w:themeColor="text1"/>
          <w14:textFill>
            <w14:solidFill>
              <w14:schemeClr w14:val="tx1"/>
            </w14:solidFill>
          </w14:textFill>
        </w:rPr>
        <w:t xml:space="preserve">ZJZ/JL 29-1 检验/检测报告发放登记</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生成投送记录。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含原始记录的检验检测报告进行存档，存档报告内容应包括：检验检测委托书、原始记录、检验检测报告。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检验检测报告的保留期为6年，环境监测类报告的保留期为长期保留，文件存档执行</w:t>
      </w: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4.4.5 凡是非资质认定项目，无加盖资质认定标志的报告，清楚标注仅作为企业内部使用，不具有对社会的证明作用。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报告的修改、补充程序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报告如作任何更改，必须重新打印，涂改无效。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报告签字盖章后尚未发出之前出现差错，应立即进行更改，原报告作废。</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当报告发出之后我站发现差错， 应立即电话或书面通知客户并说明情况，立即进行修改， 并填写</w:t>
      </w:r>
      <w:r>
        <w:fldChar w:fldCharType="begin"/>
      </w:r>
      <w:r>
        <w:instrText xml:space="preserve"> HYPERLINK "https://pqsuhhq8yu6.feishu.cn/wiki/BvxcwgrVEiJwPGktPqwcBPYMnoG" \h </w:instrText>
      </w:r>
      <w:r>
        <w:fldChar w:fldCharType="separate"/>
      </w:r>
      <w:r>
        <w:rPr>
          <w:color w:val="000000" w:themeColor="text1"/>
          <w14:textFill>
            <w14:solidFill>
              <w14:schemeClr w14:val="tx1"/>
            </w14:solidFill>
          </w14:textFill>
        </w:rPr>
        <w:t xml:space="preserve">ZJZ/JL29-2检验/检测报告修改审批表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，与原报告、修改后报告一起由综合管理室登记留存。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如客户在收到报告后要求对非检验检测数据进行更改时， 应核对客户所填写的</w:t>
      </w: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 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，如属书写错误、打印错误应收回已发出的报告， 并填写</w:t>
      </w:r>
      <w:r>
        <w:fldChar w:fldCharType="begin"/>
      </w:r>
      <w:r>
        <w:instrText xml:space="preserve"> HYPERLINK "https://pqsuhhq8yu6.feishu.cn/wiki/BvxcwgrVEiJwPGktPqwcBPYMnoG" \h </w:instrText>
      </w:r>
      <w:r>
        <w:fldChar w:fldCharType="separate"/>
      </w:r>
      <w:r>
        <w:rPr>
          <w:color w:val="000000" w:themeColor="text1"/>
          <w14:textFill>
            <w14:solidFill>
              <w14:schemeClr w14:val="tx1"/>
            </w14:solidFill>
          </w14:textFill>
        </w:rPr>
        <w:t xml:space="preserve">ZJZ/JL29-2检验/检测报告修改审批表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，审批后重新打印正确报告； 如果不是打印错误， 而是客户对委托书填写错误或其他原因要求报告，根据不同情况，由技术负责人审批后实施。出现以下情况，一律不予修改：</w:t>
      </w:r>
      <w:r>
        <w:rPr>
          <w:color w:val="000000" w:themeColor="text1"/>
          <w14:textFill>
            <w14:solidFill>
              <w14:schemeClr w14:val="tx1"/>
            </w14:solidFill>
          </w14:textFill>
        </w:rPr>
      </w:r>
    </w:p>
    <w:p>
      <w:pPr>
        <w:pStyle w:val="1996"/>
        <w:numPr>
          <w:ilvl w:val="0"/>
          <w:numId w:val="50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已核准的检验检测数据；</w:t>
      </w:r>
      <w:r>
        <w:rPr>
          <w:color w:val="000000" w:themeColor="text1"/>
          <w14:textFill>
            <w14:solidFill>
              <w14:schemeClr w14:val="tx1"/>
            </w14:solidFill>
          </w14:textFill>
        </w:rPr>
      </w:r>
    </w:p>
    <w:p>
      <w:pPr>
        <w:pStyle w:val="1996"/>
        <w:numPr>
          <w:ilvl w:val="0"/>
          <w:numId w:val="50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实际送样日期及检验检测日期；</w:t>
      </w:r>
      <w:r>
        <w:rPr>
          <w:color w:val="000000" w:themeColor="text1"/>
          <w14:textFill>
            <w14:solidFill>
              <w14:schemeClr w14:val="tx1"/>
            </w14:solidFill>
          </w14:textFill>
        </w:rPr>
      </w:r>
    </w:p>
    <w:p>
      <w:pPr>
        <w:pStyle w:val="1996"/>
        <w:numPr>
          <w:ilvl w:val="0"/>
          <w:numId w:val="50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二个或二个以上不同时间或不同批样本的试测结果合并成一个报告；</w:t>
      </w:r>
      <w:r>
        <w:rPr>
          <w:color w:val="000000" w:themeColor="text1"/>
          <w14:textFill>
            <w14:solidFill>
              <w14:schemeClr w14:val="tx1"/>
            </w14:solidFill>
          </w14:textFill>
        </w:rPr>
      </w:r>
    </w:p>
    <w:p>
      <w:pPr>
        <w:pStyle w:val="1996"/>
        <w:numPr>
          <w:ilvl w:val="0"/>
          <w:numId w:val="50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非本站检验检测的数据要求合并到本站的检验检测报告中（本站的分包除外）；</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4.5.5 如客户对报告检验检测数据、检验检测结论及事故原因分析等有异议， 由综合管理室按照</w:t>
      </w:r>
      <w:r>
        <w:fldChar w:fldCharType="begin"/>
      </w:r>
      <w:r>
        <w:instrText xml:space="preserve"> HYPERLINK "https://pqsuhhq8yu6.feishu.cn/wiki/QhzdwLan2iVaOmkXjY7ck63zn9c" \h </w:instrText>
      </w:r>
      <w:r>
        <w:fldChar w:fldCharType="separate"/>
      </w:r>
      <w:r>
        <w:rPr>
          <w:color w:val="000000" w:themeColor="text1"/>
          <w14:textFill>
            <w14:solidFill>
              <w14:schemeClr w14:val="tx1"/>
            </w14:solidFill>
          </w14:textFill>
        </w:rPr>
        <w:t xml:space="preserve">ZJZ/CX-15 投诉处理程序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4.5.6 对检验检测结果出错情况， 技术负责人应了解差错原因， 如发现属仪器设备、工作条件或实验操作错误原因引起的，除以书面形式记录差错情况外，按照</w:t>
      </w: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4.5.7 对已发出报告更改后的编号， 应在原编号后加上</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号， 以示与原报告的区别， 并在备注中作出以下声明</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对报告号为……（或其他标识）报告的修改</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，如果是对元报告的补充报告，应在备注中说明是</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对报告号为......报告的补充</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字样。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4.5.8 更改后的检验/检测报告应予以唯一性标识，并注明所替代原检验/检测报告的编号，更改后的检验/检测报告发送给客户时，收回原检验/检测报告，并加盖</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作废</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章归档。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报告的下载、查询和借阅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检验检测报告必须采用本站固定格式打印，版面整洁，字迹清晰，不得涂改。客户电子报告可在对应的客户账号内进行下载。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4.6.2 检验检测报告查询严格执行有关保密制度，切实保护客户利益。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4.6.3 为方便查询，实验分析系统设置在线查询页面，线上查阅时须登陆个人身份认证账号后方能查询，同时信息系统后台记录登陆日志。</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"https://pqsuhhq8yu6.feishu.cn/wiki/PoJJwxI2vipieGk02NvcAksanOc" \h </w:instrText>
      </w:r>
      <w:r>
        <w:fldChar w:fldCharType="separate"/>
      </w:r>
      <w:r>
        <w:rPr>
          <w:color w:val="000000" w:themeColor="text1"/>
          <w14:textFill>
            <w14:solidFill>
              <w14:schemeClr w14:val="tx1"/>
            </w14:solidFill>
          </w14:textFill>
        </w:rPr>
        <w:t xml:space="preserve">ZJZ/CX-18 记录管理程序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"https://pqsuhhq8yu6.feishu.cn/wiki/QhzdwLan2iVaOmkXjY7ck63zn9c" \h </w:instrText>
      </w:r>
      <w:r>
        <w:fldChar w:fldCharType="separate"/>
      </w:r>
      <w:r>
        <w:rPr>
          <w:color w:val="000000" w:themeColor="text1"/>
          <w14:textFill>
            <w14:solidFill>
              <w14:schemeClr w14:val="tx1"/>
            </w14:solidFill>
          </w14:textFill>
        </w:rPr>
        <w:t xml:space="preserve">ZJZ/CX-15 投诉处理程序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"https://pqsuhhq8yu6.feishu.cn/wiki/X9AcwbzeLivrh3kaVd0cbtfyn4b" \h </w:instrText>
      </w:r>
      <w:r>
        <w:fldChar w:fldCharType="separate"/>
      </w:r>
      <w:r>
        <w:rPr>
          <w:color w:val="000000" w:themeColor="text1"/>
          <w14:textFill>
            <w14:solidFill>
              <w14:schemeClr w14:val="tx1"/>
            </w14:solidFill>
          </w14:textFill>
        </w:rPr>
        <w:t xml:space="preserve">ZJZ/CX-16 不符合工作控制程序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"https://pqsuhhq8yu6.feishu.cn/wiki/TVUWwo6LziUuK0kKnk0cX2Nznsf" \h </w:instrText>
      </w:r>
      <w:r>
        <w:fldChar w:fldCharType="separate"/>
      </w:r>
      <w:r>
        <w:rPr>
          <w:color w:val="000000" w:themeColor="text1"/>
          <w14:textFill>
            <w14:solidFill>
              <w14:schemeClr w14:val="tx1"/>
            </w14:solidFill>
          </w14:textFill>
        </w:rPr>
        <w:t xml:space="preserve">检验检测机构资质认定评审准则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"https://pqsuhhq8yu6.feishu.cn/wiki/N0d2wUb8qiJMlkk0oAYcJoGxnRb" \h </w:instrText>
      </w:r>
      <w:r>
        <w:fldChar w:fldCharType="separate"/>
      </w:r>
      <w:r>
        <w:rPr>
          <w:color w:val="000000" w:themeColor="text1"/>
          <w14:textFill>
            <w14:solidFill>
              <w14:schemeClr w14:val="tx1"/>
            </w14:solidFill>
          </w14:textFill>
        </w:rPr>
        <w:t xml:space="preserve">RB/T 214-2017 检验检测机构资质认定能力评价 检验检测机构通用要求</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"https://pqsuhhq8yu6.feishu.cn/wiki/ABw3wY3svi9kI2kzdP7coI4ln0g" \h </w:instrText>
      </w:r>
      <w:r>
        <w:fldChar w:fldCharType="separate"/>
      </w:r>
      <w:r>
        <w:rPr>
          <w:color w:val="000000" w:themeColor="text1"/>
          <w14:textFill>
            <w14:solidFill>
              <w14:schemeClr w14:val="tx1"/>
            </w14:solidFill>
          </w14:textFill>
        </w:rPr>
        <w:t xml:space="preserve"> ZJZ/JL 11-1任务委托单 </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"https://pqsuhhq8yu6.feishu.cn/wiki/QlSpwfBUXi9bljk80FCcXkUFntb" \h </w:instrText>
      </w:r>
      <w:r>
        <w:fldChar w:fldCharType="separate"/>
      </w:r>
      <w:r>
        <w:rPr>
          <w:color w:val="000000" w:themeColor="text1"/>
          <w14:textFill>
            <w14:solidFill>
              <w14:schemeClr w14:val="tx1"/>
            </w14:solidFill>
          </w14:textFill>
        </w:rPr>
        <w:t xml:space="preserve">ZJZ/JL 29-1 检验/检测报告发放登记</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"https://pqsuhhq8yu6.feishu.cn/wiki/BvxcwgrVEiJwPGktPqwcBPYMnoG" \h </w:instrText>
      </w:r>
      <w:r>
        <w:fldChar w:fldCharType="separate"/>
      </w:r>
      <w:r>
        <w:rPr>
          <w:color w:val="000000" w:themeColor="text1"/>
          <w14:textFill>
            <w14:solidFill>
              <w14:schemeClr w14:val="tx1"/>
            </w14:solidFill>
          </w14:textFill>
        </w:rPr>
        <w:t xml:space="preserve">ZJZ/JL29-2检验/检测报告修改审批表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"https://pqsuhhq8yu6.feishu.cn/wiki/BPgUwc3bhiXOKbkEIsbchNp6nzb" \h </w:instrText>
      </w:r>
      <w:r>
        <w:fldChar w:fldCharType="separate"/>
      </w:r>
      <w:r>
        <w:rPr>
          <w:color w:val="000000" w:themeColor="text1"/>
          <w14:textFill>
            <w14:solidFill>
              <w14:schemeClr w14:val="tx1"/>
            </w14:solidFill>
          </w14:textFill>
        </w:rPr>
        <w:t xml:space="preserve">ZJZ/JL29-3CMA专用章使用登记表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"https://pqsuhhq8yu6.feishu.cn/wiki/BPgUwc3bhiXOKbkEIsbchNp6nzb" \h </w:instrText>
      </w:r>
      <w:r>
        <w:fldChar w:fldCharType="separate"/>
      </w:r>
      <w:r>
        <w:rPr>
          <w:color w:val="000000" w:themeColor="text1"/>
          <w14:textFill>
            <w14:solidFill>
              <w14:schemeClr w14:val="tx1"/>
            </w14:solidFill>
          </w14:textFill>
        </w:rPr>
        <w:t xml:space="preserve">ZJZ/JL29-4</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 xml:space="preserve">检验检测机构授权签字人审查报告记录</w:t>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53" w:name="_Toc27468"/>
      <w:r>
        <w:rPr>
          <w:color w:val="000000" w:themeColor="text1"/>
          <w14:textFill>
            <w14:solidFill>
              <w14:schemeClr w14:val="tx1"/>
            </w14:solidFill>
          </w14:textFill>
        </w:rPr>
        <w:t xml:space="preserve">ZJZ/CX-30 内务和安全管理程序</w:t>
      </w:r>
      <w:bookmarkEnd w:id="53"/>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为优化内务管理环境， 保证检验检测过程的安全和检验检测人员的身体健康不受到危害，特制定本程序。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适用于本站内务管理和检验检测工作过程中各种危险因素的控制和应急处置工作。</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站长：对全站的内务、安全、环境管理负主要领导责任。负责组织建立内务和安全作业制度，配备安全作业相关资源，落实安全作业措施。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总监/副站长：根据业务分工对分管业务内的内务、安全、环境负领导责任。负责组织内务和安全检查、识别检验检测工作中涉及的危及安全的因素和环境，提出安全作业和安全防护措施要求，发现问题及时向站长报告。</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安全员：负责对全站内务、安全、环境进行监督检查。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实验室室主任：负责本室的内务和安全管理工作，负责组织落实本室内务和安全管理的各项管理措施。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检验检测人员：对本岗位的内务、安全、环境负直接责任，负责严格按照内务要求和安全作业要求开展工作，正确使用安全防护措施。</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w:t>
      </w:r>
      <w:r>
        <w:rPr>
          <w:b/>
          <w:color w:val="000000" w:themeColor="text1"/>
          <w14:textFill>
            <w14:solidFill>
              <w14:schemeClr w14:val="tx1"/>
            </w14:solidFill>
          </w14:textFill>
        </w:rPr>
        <w:t xml:space="preserve">内务管理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本站内务管理积极推行</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5S</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标准化建设，即整理、整顿、清扫、清洁、素养。具体要求如下：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整理：将要的物品与不要的物品予以分开摆置，在岗位上只放置必需物品，把长期不用的东西放回库房或指定区域。具体要求如下：</w:t>
      </w:r>
      <w:r>
        <w:rPr>
          <w:color w:val="000000" w:themeColor="text1"/>
          <w14:textFill>
            <w14:solidFill>
              <w14:schemeClr w14:val="tx1"/>
            </w14:solidFill>
          </w14:textFill>
        </w:rPr>
      </w:r>
    </w:p>
    <w:p>
      <w:pPr>
        <w:pStyle w:val="1996"/>
        <w:numPr>
          <w:ilvl w:val="0"/>
          <w:numId w:val="50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每月对试验记录等文件 (包括电子文档)作清点，把文件分为必要（有效）和不要（过期无效）的，必要文件存档保管。</w:t>
      </w:r>
      <w:r>
        <w:rPr>
          <w:color w:val="000000" w:themeColor="text1"/>
          <w14:textFill>
            <w14:solidFill>
              <w14:schemeClr w14:val="tx1"/>
            </w14:solidFill>
          </w14:textFill>
        </w:rPr>
      </w:r>
    </w:p>
    <w:p>
      <w:pPr>
        <w:pStyle w:val="1996"/>
        <w:numPr>
          <w:ilvl w:val="0"/>
          <w:numId w:val="50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工作现场内不能放置非工作必需品(即与工作无关或当时不可用的物品)。</w:t>
      </w:r>
      <w:r>
        <w:rPr>
          <w:color w:val="000000" w:themeColor="text1"/>
          <w14:textFill>
            <w14:solidFill>
              <w14:schemeClr w14:val="tx1"/>
            </w14:solidFill>
          </w14:textFill>
        </w:rPr>
      </w:r>
    </w:p>
    <w:p>
      <w:pPr>
        <w:pStyle w:val="1996"/>
        <w:numPr>
          <w:ilvl w:val="0"/>
          <w:numId w:val="50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将废弃的化学药品及无用的容器、盛具、包装箱等清出。</w:t>
      </w:r>
      <w:r>
        <w:rPr>
          <w:color w:val="000000" w:themeColor="text1"/>
          <w14:textFill>
            <w14:solidFill>
              <w14:schemeClr w14:val="tx1"/>
            </w14:solidFill>
          </w14:textFill>
        </w:rPr>
      </w:r>
    </w:p>
    <w:p>
      <w:pPr>
        <w:pStyle w:val="1996"/>
        <w:numPr>
          <w:ilvl w:val="0"/>
          <w:numId w:val="51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员工每天清理实验室，改善实验工作环境。</w:t>
      </w:r>
      <w:r>
        <w:rPr>
          <w:color w:val="000000" w:themeColor="text1"/>
          <w14:textFill>
            <w14:solidFill>
              <w14:schemeClr w14:val="tx1"/>
            </w14:solidFill>
          </w14:textFill>
        </w:rPr>
      </w:r>
    </w:p>
    <w:p>
      <w:pPr>
        <w:pStyle w:val="1996"/>
        <w:numPr>
          <w:ilvl w:val="0"/>
          <w:numId w:val="51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现场无杂物，行道通畅，保障安全，提高工作效率。</w:t>
      </w:r>
      <w:r>
        <w:rPr>
          <w:color w:val="000000" w:themeColor="text1"/>
          <w14:textFill>
            <w14:solidFill>
              <w14:schemeClr w14:val="tx1"/>
            </w14:solidFill>
          </w14:textFill>
        </w:rPr>
      </w:r>
    </w:p>
    <w:p>
      <w:pPr>
        <w:pStyle w:val="1996"/>
        <w:numPr>
          <w:ilvl w:val="0"/>
          <w:numId w:val="51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消除管理上的混放等差错事故。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整顿：必需品依规定定位、定方法摆放整齐有序，明确标示，保持在需要时即时可得的状态。具体要求如下：</w:t>
      </w:r>
      <w:r>
        <w:rPr>
          <w:color w:val="000000" w:themeColor="text1"/>
          <w14:textFill>
            <w14:solidFill>
              <w14:schemeClr w14:val="tx1"/>
            </w14:solidFill>
          </w14:textFill>
        </w:rPr>
      </w:r>
    </w:p>
    <w:p>
      <w:pPr>
        <w:pStyle w:val="1996"/>
        <w:numPr>
          <w:ilvl w:val="0"/>
          <w:numId w:val="51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办公家具、实验设备摆放整齐、合理。</w:t>
      </w:r>
      <w:r>
        <w:rPr>
          <w:color w:val="000000" w:themeColor="text1"/>
          <w14:textFill>
            <w14:solidFill>
              <w14:schemeClr w14:val="tx1"/>
            </w14:solidFill>
          </w14:textFill>
        </w:rPr>
      </w:r>
    </w:p>
    <w:p>
      <w:pPr>
        <w:pStyle w:val="1996"/>
        <w:numPr>
          <w:ilvl w:val="0"/>
          <w:numId w:val="51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设备及工作台表面整洁无尘、无污迹、无杂物、垃圾 。</w:t>
      </w:r>
      <w:r>
        <w:rPr>
          <w:color w:val="000000" w:themeColor="text1"/>
          <w14:textFill>
            <w14:solidFill>
              <w14:schemeClr w14:val="tx1"/>
            </w14:solidFill>
          </w14:textFill>
        </w:rPr>
      </w:r>
    </w:p>
    <w:p>
      <w:pPr>
        <w:pStyle w:val="1996"/>
        <w:numPr>
          <w:ilvl w:val="0"/>
          <w:numId w:val="51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文件柜、样品柜、文件夹等做好分类标记。</w:t>
      </w:r>
      <w:r>
        <w:rPr>
          <w:color w:val="000000" w:themeColor="text1"/>
          <w14:textFill>
            <w14:solidFill>
              <w14:schemeClr w14:val="tx1"/>
            </w14:solidFill>
          </w14:textFill>
        </w:rPr>
      </w:r>
    </w:p>
    <w:p>
      <w:pPr>
        <w:pStyle w:val="1996"/>
        <w:numPr>
          <w:ilvl w:val="0"/>
          <w:numId w:val="51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实验样品、测试仪器、试验耗材等按规定位置有序放置，无堆积、无积尘、无油污。</w:t>
      </w:r>
      <w:r>
        <w:rPr>
          <w:color w:val="000000" w:themeColor="text1"/>
          <w14:textFill>
            <w14:solidFill>
              <w14:schemeClr w14:val="tx1"/>
            </w14:solidFill>
          </w14:textFill>
        </w:rPr>
      </w:r>
    </w:p>
    <w:p>
      <w:pPr>
        <w:pStyle w:val="1996"/>
        <w:numPr>
          <w:ilvl w:val="0"/>
          <w:numId w:val="51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墙壁悬挂张贴物牢固、端正、整齐、美观。</w:t>
      </w:r>
      <w:r>
        <w:rPr>
          <w:color w:val="000000" w:themeColor="text1"/>
          <w14:textFill>
            <w14:solidFill>
              <w14:schemeClr w14:val="tx1"/>
            </w14:solidFill>
          </w14:textFill>
        </w:rPr>
      </w:r>
    </w:p>
    <w:p>
      <w:pPr>
        <w:pStyle w:val="1996"/>
        <w:numPr>
          <w:ilvl w:val="0"/>
          <w:numId w:val="51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各种作业指导书、记录表格摆放于指定位置，干净整洁，一目了然。</w:t>
      </w:r>
      <w:r>
        <w:rPr>
          <w:color w:val="000000" w:themeColor="text1"/>
          <w14:textFill>
            <w14:solidFill>
              <w14:schemeClr w14:val="tx1"/>
            </w14:solidFill>
          </w14:textFill>
        </w:rPr>
      </w:r>
    </w:p>
    <w:p>
      <w:pPr>
        <w:pStyle w:val="1996"/>
        <w:numPr>
          <w:ilvl w:val="0"/>
          <w:numId w:val="51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水/电/气开关/阀加以指示标记，高压电源、有毒及腐蚀性物品等加以危险警告标识，各种标记标识要求醒目易认。</w:t>
      </w:r>
      <w:r>
        <w:rPr>
          <w:color w:val="000000" w:themeColor="text1"/>
          <w14:textFill>
            <w14:solidFill>
              <w14:schemeClr w14:val="tx1"/>
            </w14:solidFill>
          </w14:textFill>
        </w:rPr>
      </w:r>
    </w:p>
    <w:p>
      <w:pPr>
        <w:pStyle w:val="1996"/>
        <w:numPr>
          <w:ilvl w:val="0"/>
          <w:numId w:val="52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管道、线缆排列整齐，管线加标识，标流向，加介质名称。</w:t>
      </w:r>
      <w:r>
        <w:rPr>
          <w:color w:val="000000" w:themeColor="text1"/>
          <w14:textFill>
            <w14:solidFill>
              <w14:schemeClr w14:val="tx1"/>
            </w14:solidFill>
          </w14:textFill>
        </w:rPr>
      </w:r>
    </w:p>
    <w:p>
      <w:pPr>
        <w:pStyle w:val="1996"/>
        <w:numPr>
          <w:ilvl w:val="0"/>
          <w:numId w:val="52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消防设施齐全有效，定位摆放，定期检查、及时记录。</w:t>
      </w:r>
      <w:r>
        <w:rPr>
          <w:color w:val="000000" w:themeColor="text1"/>
          <w14:textFill>
            <w14:solidFill>
              <w14:schemeClr w14:val="tx1"/>
            </w14:solidFill>
          </w14:textFill>
        </w:rPr>
      </w:r>
    </w:p>
    <w:p>
      <w:pPr>
        <w:pStyle w:val="1996"/>
        <w:numPr>
          <w:ilvl w:val="0"/>
          <w:numId w:val="52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工具取用后收回原位或分类储存，个人物品应定点放置在个人物品柜中。</w:t>
      </w:r>
      <w:r>
        <w:rPr>
          <w:color w:val="000000" w:themeColor="text1"/>
          <w14:textFill>
            <w14:solidFill>
              <w14:schemeClr w14:val="tx1"/>
            </w14:solidFill>
          </w14:textFill>
        </w:rPr>
      </w:r>
    </w:p>
    <w:p>
      <w:pPr>
        <w:pStyle w:val="1996"/>
        <w:numPr>
          <w:ilvl w:val="0"/>
          <w:numId w:val="52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坐椅上不能放任何物品，人离开时椅子调正。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 4.1.3 清扫：保持工作场所无垃圾、无污渍状态，设备工装檫试干净，保持良好。具体要求如下：</w:t>
      </w:r>
      <w:r>
        <w:rPr>
          <w:color w:val="000000" w:themeColor="text1"/>
          <w14:textFill>
            <w14:solidFill>
              <w14:schemeClr w14:val="tx1"/>
            </w14:solidFill>
          </w14:textFill>
        </w:rPr>
      </w:r>
    </w:p>
    <w:p>
      <w:pPr>
        <w:pStyle w:val="1996"/>
        <w:numPr>
          <w:ilvl w:val="0"/>
          <w:numId w:val="52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将整理出不需要的物品（包括电子文档）予以清除。</w:t>
      </w:r>
      <w:r>
        <w:rPr>
          <w:color w:val="000000" w:themeColor="text1"/>
          <w14:textFill>
            <w14:solidFill>
              <w14:schemeClr w14:val="tx1"/>
            </w14:solidFill>
          </w14:textFill>
        </w:rPr>
      </w:r>
    </w:p>
    <w:p>
      <w:pPr>
        <w:pStyle w:val="1996"/>
        <w:numPr>
          <w:ilvl w:val="0"/>
          <w:numId w:val="52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保持通道畅通。</w:t>
      </w:r>
      <w:r>
        <w:rPr>
          <w:color w:val="000000" w:themeColor="text1"/>
          <w14:textFill>
            <w14:solidFill>
              <w14:schemeClr w14:val="tx1"/>
            </w14:solidFill>
          </w14:textFill>
        </w:rPr>
      </w:r>
    </w:p>
    <w:p>
      <w:pPr>
        <w:pStyle w:val="1996"/>
        <w:numPr>
          <w:ilvl w:val="0"/>
          <w:numId w:val="52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检验检测人员应按规定清扫地面、擦拭门窗，工作区域内无卫生死角。</w:t>
      </w:r>
      <w:r>
        <w:rPr>
          <w:color w:val="000000" w:themeColor="text1"/>
          <w14:textFill>
            <w14:solidFill>
              <w14:schemeClr w14:val="tx1"/>
            </w14:solidFill>
          </w14:textFill>
        </w:rPr>
      </w:r>
    </w:p>
    <w:p>
      <w:pPr>
        <w:pStyle w:val="1996"/>
        <w:numPr>
          <w:ilvl w:val="0"/>
          <w:numId w:val="52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检验检测人员定期对工作区域的工装、设备及取用后的仪器进行擦拭、保养，外表无尘无污渍、无油污。</w:t>
      </w:r>
      <w:r>
        <w:rPr>
          <w:color w:val="000000" w:themeColor="text1"/>
          <w14:textFill>
            <w14:solidFill>
              <w14:schemeClr w14:val="tx1"/>
            </w14:solidFill>
          </w14:textFill>
        </w:rPr>
      </w:r>
    </w:p>
    <w:p>
      <w:pPr>
        <w:pStyle w:val="1996"/>
        <w:numPr>
          <w:ilvl w:val="0"/>
          <w:numId w:val="52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检验检测人员每天整理办公场所，包括工作桌、电脑等。</w:t>
      </w:r>
      <w:r>
        <w:rPr>
          <w:color w:val="000000" w:themeColor="text1"/>
          <w14:textFill>
            <w14:solidFill>
              <w14:schemeClr w14:val="tx1"/>
            </w14:solidFill>
          </w14:textFill>
        </w:rPr>
      </w:r>
    </w:p>
    <w:p>
      <w:pPr>
        <w:pStyle w:val="1996"/>
        <w:numPr>
          <w:ilvl w:val="0"/>
          <w:numId w:val="52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室内经常通风，无异味。</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清洁：维持</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整理、整顿、清扫</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 步骤，使得管理制度化、规范化，贯彻执行并保持以上三者的成果，清洁的目的是持续改善。具体要求如下：</w:t>
      </w:r>
      <w:r>
        <w:rPr>
          <w:color w:val="000000" w:themeColor="text1"/>
          <w14:textFill>
            <w14:solidFill>
              <w14:schemeClr w14:val="tx1"/>
            </w14:solidFill>
          </w14:textFill>
        </w:rPr>
      </w:r>
    </w:p>
    <w:p>
      <w:pPr>
        <w:pStyle w:val="1996"/>
        <w:numPr>
          <w:ilvl w:val="0"/>
          <w:numId w:val="53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制定目视管理、颜色管理的基准。</w:t>
      </w:r>
      <w:r>
        <w:rPr>
          <w:color w:val="000000" w:themeColor="text1"/>
          <w14:textFill>
            <w14:solidFill>
              <w14:schemeClr w14:val="tx1"/>
            </w14:solidFill>
          </w14:textFill>
        </w:rPr>
      </w:r>
    </w:p>
    <w:p>
      <w:pPr>
        <w:pStyle w:val="1996"/>
        <w:numPr>
          <w:ilvl w:val="0"/>
          <w:numId w:val="53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制定检查方法。建立清洁核查表，管理人员作不定期检查。</w:t>
      </w:r>
      <w:r>
        <w:rPr>
          <w:color w:val="000000" w:themeColor="text1"/>
          <w14:textFill>
            <w14:solidFill>
              <w14:schemeClr w14:val="tx1"/>
            </w14:solidFill>
          </w14:textFill>
        </w:rPr>
      </w:r>
    </w:p>
    <w:p>
      <w:pPr>
        <w:pStyle w:val="1996"/>
        <w:numPr>
          <w:ilvl w:val="0"/>
          <w:numId w:val="53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定期整理整顿清扫，不断改进。</w:t>
      </w:r>
      <w:r>
        <w:rPr>
          <w:color w:val="000000" w:themeColor="text1"/>
          <w14:textFill>
            <w14:solidFill>
              <w14:schemeClr w14:val="tx1"/>
            </w14:solidFill>
          </w14:textFill>
        </w:rPr>
      </w:r>
    </w:p>
    <w:p>
      <w:pPr>
        <w:pStyle w:val="1996"/>
        <w:numPr>
          <w:ilvl w:val="0"/>
          <w:numId w:val="53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制定奖惩制度，加强执行。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素养：不断持续</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整理、整顿、清扫、清洁</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 4 个步骤，培养员工遵守内务管理制度，养成良好的工作习惯，提升企业文化，素养的目的是提升员 工的品格，树立维护</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5S</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的责任感。具体要求如下：</w:t>
      </w:r>
      <w:r>
        <w:rPr>
          <w:color w:val="000000" w:themeColor="text1"/>
          <w14:textFill>
            <w14:solidFill>
              <w14:schemeClr w14:val="tx1"/>
            </w14:solidFill>
          </w14:textFill>
        </w:rPr>
      </w:r>
    </w:p>
    <w:p>
      <w:pPr>
        <w:pStyle w:val="1996"/>
        <w:numPr>
          <w:ilvl w:val="0"/>
          <w:numId w:val="53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检验检测人员实验须按作业指导书规定进行，不得违规操作。</w:t>
      </w:r>
      <w:r>
        <w:rPr>
          <w:color w:val="000000" w:themeColor="text1"/>
          <w14:textFill>
            <w14:solidFill>
              <w14:schemeClr w14:val="tx1"/>
            </w14:solidFill>
          </w14:textFill>
        </w:rPr>
      </w:r>
    </w:p>
    <w:p>
      <w:pPr>
        <w:pStyle w:val="1996"/>
        <w:numPr>
          <w:ilvl w:val="0"/>
          <w:numId w:val="53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检验检测人员应熟悉设备性能，并能在在出现紧急情况时及时冷静应对。</w:t>
      </w:r>
      <w:r>
        <w:rPr>
          <w:color w:val="000000" w:themeColor="text1"/>
          <w14:textFill>
            <w14:solidFill>
              <w14:schemeClr w14:val="tx1"/>
            </w14:solidFill>
          </w14:textFill>
        </w:rPr>
      </w:r>
    </w:p>
    <w:p>
      <w:pPr>
        <w:pStyle w:val="1996"/>
        <w:numPr>
          <w:ilvl w:val="0"/>
          <w:numId w:val="53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检验检测数据的记录做到严谨公正，不得错记、漏记、伪造。</w:t>
      </w:r>
      <w:r>
        <w:rPr>
          <w:color w:val="000000" w:themeColor="text1"/>
          <w14:textFill>
            <w14:solidFill>
              <w14:schemeClr w14:val="tx1"/>
            </w14:solidFill>
          </w14:textFill>
        </w:rPr>
      </w:r>
    </w:p>
    <w:p>
      <w:pPr>
        <w:pStyle w:val="1996"/>
        <w:numPr>
          <w:ilvl w:val="0"/>
          <w:numId w:val="53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实验结束后，应及时关闭水电气源，并将设备擦拭干净。</w:t>
      </w:r>
      <w:r>
        <w:rPr>
          <w:color w:val="000000" w:themeColor="text1"/>
          <w14:textFill>
            <w14:solidFill>
              <w14:schemeClr w14:val="tx1"/>
            </w14:solidFill>
          </w14:textFill>
        </w:rPr>
      </w:r>
    </w:p>
    <w:p>
      <w:pPr>
        <w:pStyle w:val="1996"/>
        <w:numPr>
          <w:ilvl w:val="0"/>
          <w:numId w:val="53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保持旺盛的士气和良好的工作状况，工作时间不得睡觉、玩游戏、喧哗打闹等。</w:t>
      </w:r>
      <w:r>
        <w:rPr>
          <w:color w:val="000000" w:themeColor="text1"/>
          <w14:textFill>
            <w14:solidFill>
              <w14:schemeClr w14:val="tx1"/>
            </w14:solidFill>
          </w14:textFill>
        </w:rPr>
      </w:r>
    </w:p>
    <w:p>
      <w:pPr>
        <w:pStyle w:val="1996"/>
        <w:numPr>
          <w:ilvl w:val="0"/>
          <w:numId w:val="53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工作时间内按规定着装，佩戴公司标牌，个人仪容整洁，行为规范、文明。</w:t>
      </w:r>
      <w:r>
        <w:rPr>
          <w:color w:val="000000" w:themeColor="text1"/>
          <w14:textFill>
            <w14:solidFill>
              <w14:schemeClr w14:val="tx1"/>
            </w14:solidFill>
          </w14:textFill>
        </w:rPr>
      </w:r>
    </w:p>
    <w:p>
      <w:pPr>
        <w:pStyle w:val="1996"/>
        <w:numPr>
          <w:ilvl w:val="0"/>
          <w:numId w:val="54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做到物品定置，文件归类，人走桌净。</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安全生产基本要求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质量检测站站长是本站安全管理第一责任人，负责本站安全作业所需的资源配置和管理。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本站安全管理遵循</w:t>
      </w:r>
      <w:r>
        <w:fldChar w:fldCharType="begin"/>
      </w:r>
      <w:r>
        <w:instrText xml:space="preserve"> HYPERLINK "https://pqsuhhq8yu6.feishu.cn/wiki/P4eWwqbqjiCEaVkmhdWcemUenbh" \h </w:instrText>
      </w:r>
      <w:r>
        <w:fldChar w:fldCharType="separate"/>
      </w:r>
      <w:r>
        <w:rPr>
          <w:color w:val="000000" w:themeColor="text1"/>
          <w14:textFill>
            <w14:solidFill>
              <w14:schemeClr w14:val="tx1"/>
            </w14:solidFill>
          </w14:textFill>
        </w:rPr>
        <w:t xml:space="preserve">中华人民共和国安全生产法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、西北油田分公司HSE管理体系和</w:t>
      </w:r>
      <w:r>
        <w:fldChar w:fldCharType="begin"/>
      </w:r>
      <w:r>
        <w:instrText xml:space="preserve"> HYPERLINK "https://pqsuhhq8yu6.feishu.cn/wiki/Yd2FwDiq2ieD9gkxsvNcJUWOngf" \h </w:instrText>
      </w:r>
      <w:r>
        <w:fldChar w:fldCharType="separate"/>
      </w:r>
      <w:r>
        <w:rPr>
          <w:color w:val="000000" w:themeColor="text1"/>
          <w14:textFill>
            <w14:solidFill>
              <w14:schemeClr w14:val="tx1"/>
            </w14:solidFill>
          </w14:textFill>
        </w:rPr>
        <w:t xml:space="preserve">中国石化西北石油局有限公司 西北油田分公司实验室HSSE管理实施细则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以及实验检测技术中心安全管理相关作业指导书要求，做好本站安全管理工作。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本站执行实验检测技术中心安全生产和环境保护责任制，站领导组织各实验室室主任编制本站安全环保属地责任矩阵表，落实各岗位安全生产和环境保护责任。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风险识别与控制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安全管理员组织检验检测人员按照</w:t>
      </w:r>
      <w:r>
        <w:fldChar w:fldCharType="begin"/>
      </w:r>
      <w:r>
        <w:instrText xml:space="preserve"> HYPERLINK "https://pqsuhhq8yu6.feishu.cn/wiki/CRmlwj47ii6lNLkwyOzc2sNIndh" \h </w:instrText>
      </w:r>
      <w:r>
        <w:fldChar w:fldCharType="separate"/>
      </w:r>
      <w:r>
        <w:rPr>
          <w:color w:val="000000" w:themeColor="text1"/>
          <w14:textFill>
            <w14:solidFill>
              <w14:schemeClr w14:val="tx1"/>
            </w14:solidFill>
          </w14:textFill>
        </w:rPr>
        <w:t xml:space="preserve">ZJZ/CX-31 风险辨识和评价程序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，对本岗位的安全风险进行识别，组织各室编制</w:t>
      </w:r>
      <w:r>
        <w:fldChar w:fldCharType="begin"/>
      </w:r>
      <w:r>
        <w:instrText xml:space="preserve"> HYPERLINK "https://pqsuhhq8yu6.feishu.cn/wiki/JuZMwqx6aiBb2MkrALpc9cVFnjc" \h </w:instrText>
      </w:r>
      <w:r>
        <w:fldChar w:fldCharType="separate"/>
      </w:r>
      <w:r>
        <w:rPr>
          <w:color w:val="000000" w:themeColor="text1"/>
          <w14:textFill>
            <w14:solidFill>
              <w14:schemeClr w14:val="tx1"/>
            </w14:solidFill>
          </w14:textFill>
        </w:rPr>
        <w:t xml:space="preserve">ZJZ/JL 31-1 质量检测站岗位风险识别清单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，并上报中心生产运行室。对于不满足风险可接受标准的，应及时采取有效的治理控制措施，确保识别出的风险受控。并根据风险制定相应的管控措施。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实验室应采取日常检查、定期检查、专业排查、专项排查、事故类比排查等方式，系统排查实验室存在的隐患。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实验室应对排查出的隐患实行分级、动态管理。对排查出的隐患要落实</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五定</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（定方案、定资金、定期限、定责任人、定预案），按照轻重缓急整改治理、动态跟踪整治进度。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危险化学品管理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检验检测人员按照</w:t>
      </w:r>
      <w:r>
        <w:fldChar w:fldCharType="begin"/>
      </w:r>
      <w:r>
        <w:instrText xml:space="preserve"> HYPERLINK "https://pqsuhhq8yu6.feishu.cn/wiki/RgAkwcsdkimmtPk4aATcdhICnVg" \h </w:instrText>
      </w:r>
      <w:r>
        <w:fldChar w:fldCharType="separate"/>
      </w:r>
      <w:r>
        <w:rPr>
          <w:color w:val="000000" w:themeColor="text1"/>
          <w14:textFill>
            <w14:solidFill>
              <w14:schemeClr w14:val="tx1"/>
            </w14:solidFill>
          </w14:textFill>
        </w:rPr>
        <w:t xml:space="preserve">ZJZ/CX-32 危险化学品安全管理控制程序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，对危险化学品的存储、领取、使用、处置等环节进行管理。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危险化学品存储应当符合国家标准、行业标准的要求，并设置明显的标志。储存易制毒、易制爆危险化学品应设置专用仓库，并按照国家有关规定设置相应的技术防范设施。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危险化学品领取执行</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双人收发、双人使用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制度。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危险化学品应根据物理化学性质分类存放，应做到安全、牢固、整齐、合理，保持</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帐、卡、物</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一致。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4.4.5 实验室应建立《危险化学品安全技术说明书》，并放在方便获取处，操作人员应掌握危险化学品的基本特性和应急处理方法。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4.4.6 危险化学品试验应在通风柜内或通风良好处进行。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4.4.7 针对不同的化学品要配置相应的消防器材。与水发生反应的化学试剂不得配备水基性灭火器，同时库房或实验室采取防水措施。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4.4.8 化学品领用按照最低余量原则领用，化学品的领用和使用要及时记录。剩余化学品保存在实验室化学品流转柜内。</w:t>
      </w:r>
      <w:r>
        <w:rPr>
          <w:color w:val="000000" w:themeColor="text1"/>
          <w14:textFill>
            <w14:solidFill>
              <w14:schemeClr w14:val="tx1"/>
            </w14:solidFill>
          </w14:textFill>
        </w:rPr>
      </w:r>
    </w:p>
    <w:p>
      <w:pPr>
        <w:pBdr/>
        <w:spacing/>
        <w:ind/>
        <w:rPr>
          <w:rFonts w:hint="eastAsia"/>
          <w:color w:val="000000" w:themeColor="text1"/>
          <w14:textFill>
            <w14:solidFill>
              <w14:schemeClr w14:val="tx1"/>
            </w14:solidFill>
          </w14:textFill>
        </w:rPr>
      </w:pPr>
      <w:r>
        <w:rPr>
          <w:rFonts w:hint="eastAsia"/>
          <w:color w:val="000000" w:themeColor="text1"/>
          <w:highlight w:val="yellow"/>
          <w14:textFill>
            <w14:solidFill>
              <w14:schemeClr w14:val="tx1"/>
            </w14:solidFill>
          </w14:textFill>
        </w:rPr>
        <w:t xml:space="preserve">4</w:t>
      </w:r>
      <w:r>
        <w:rPr>
          <w:color w:val="000000" w:themeColor="text1"/>
          <w:highlight w:val="yellow"/>
          <w14:textFill>
            <w14:solidFill>
              <w14:schemeClr w14:val="tx1"/>
            </w14:solidFill>
          </w14:textFill>
        </w:rPr>
        <w:t xml:space="preserve">.4.9 </w:t>
      </w:r>
      <w:r>
        <w:rPr>
          <w:rFonts w:hint="eastAsia"/>
          <w:color w:val="000000" w:themeColor="text1"/>
          <w:highlight w:val="yellow"/>
          <w14:textFill>
            <w14:solidFill>
              <w14:schemeClr w14:val="tx1"/>
            </w14:solidFill>
          </w14:textFill>
        </w:rPr>
        <w:t xml:space="preserve">普通</w:t>
      </w:r>
      <w:r>
        <w:rPr>
          <w:rFonts w:hint="eastAsia"/>
          <w:spacing w:val="3"/>
          <w:highlight w:val="yellow"/>
        </w:rPr>
        <w:t xml:space="preserve">化学品由使用人员在中心网站申请，材料管理员审核完成后，根</w:t>
      </w:r>
      <w:r>
        <w:rPr>
          <w:spacing w:val="-93"/>
          <w:highlight w:val="yellow"/>
        </w:rPr>
        <w:t xml:space="preserve"> </w:t>
      </w:r>
      <w:r>
        <w:rPr>
          <w:rFonts w:hint="eastAsia"/>
          <w:highlight w:val="yellow"/>
        </w:rPr>
        <w:t xml:space="preserve">据申请单发放，普通溶液及指示剂配制时填写</w:t>
      </w:r>
      <w:r>
        <w:rPr>
          <w:highlight w:val="yellow"/>
        </w:rPr>
        <w:t xml:space="preserve">ZJZ/JL30</w:t>
      </w:r>
      <w:r>
        <w:rPr>
          <w:rFonts w:hint="eastAsia"/>
          <w:highlight w:val="yellow"/>
        </w:rPr>
        <w:t xml:space="preserve">-</w:t>
      </w:r>
      <w:r>
        <w:rPr>
          <w:highlight w:val="yellow"/>
        </w:rPr>
        <w:t xml:space="preserve">1</w:t>
      </w:r>
      <w:r>
        <w:rPr>
          <w:rFonts w:hint="eastAsia"/>
          <w:highlight w:val="yellow"/>
        </w:rPr>
        <w:t xml:space="preserve">普通溶液/指示剂配制记录表</w:t>
      </w:r>
      <w:r>
        <w:rPr>
          <w:rFonts w:hint="eastAsia"/>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设备设施管理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实验检测人员按照</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四懂三会</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四懂：懂原理、懂性能、懂结构、懂用途；三会：会操作、会保养、会鉴别故障）标准熟悉本岗位的设备状况，严格按照操作规程使用仪器，操作前要对仪器进行检查是否正常运行，定期对仪器设备进行维护保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仪器设备使用过程中出现问题或发生故障时，及时检查分析原因，消除隐患。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具有高温、高压、高辐射、高速运动等潜在危险的仪器设备，在使用时应配备安全防护措施。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精密仪器、大功率仪器设备和使用强电的仪器设备应安全接地。不能断电的特殊仪器设备，采取必要的防护措施。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4.5.5 实验室根据检测要求，应配置相适应且便于使用的安全防护装备及设施，如个人防护装备、烟雾报警器、毒气报警器、洗眼及紧急喷淋装置、灭火器等，</w:t>
      </w:r>
      <w:r>
        <w:fldChar w:fldCharType="begin"/>
      </w:r>
      <w:r>
        <w:instrText xml:space="preserve"> HYPERLINK "https://pqsuhhq8yu6.feishu.cn/wiki/SpRiwDMlFizI1HkebNQcx0ZBn1e" \h </w:instrText>
      </w:r>
      <w:r>
        <w:fldChar w:fldCharType="separate"/>
      </w:r>
      <w:r>
        <w:rPr>
          <w:color w:val="000000" w:themeColor="text1"/>
          <w14:textFill>
            <w14:solidFill>
              <w14:schemeClr w14:val="tx1"/>
            </w14:solidFill>
          </w14:textFill>
        </w:rPr>
        <w:t xml:space="preserve">ZJZ/JL31-3应急物资台账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，并每季度最少检查一次其功能的有效性。应急物资包括消防、急救、监测、通讯、防护、报警装置等，每月检查消防器材并填写《消防检查记录卡》。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4.5.6 实验室应识别重点部位，并设置视频监控系统。</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个体防护要求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实验室必须选择合适的、符合国家标准的劳动防护用品，劳防用品必须有三证（生产许可证、产品合格证、安全鉴定证）。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4.6.2 劳动防护用品由综合管理室对劳防用品的规格、款式、质量进行检查，入库必须经过验收</w:t>
      </w:r>
      <w:r>
        <w:rPr>
          <w:rFonts w:hint="eastAsia"/>
          <w:color w:val="000000" w:themeColor="text1"/>
          <w:lang w:eastAsia="zh-CN"/>
          <w14:textFill>
            <w14:solidFill>
              <w14:schemeClr w14:val="tx1"/>
            </w14:solidFill>
          </w14:textFill>
        </w:rPr>
        <w:t xml:space="preserve">，</w:t>
      </w:r>
      <w:r>
        <w:rPr>
          <w:rFonts w:hint="eastAsia"/>
          <w:color w:val="000000" w:themeColor="text1"/>
          <w:lang w:val="en-US" w:eastAsia="zh-CN"/>
          <w14:textFill>
            <w14:solidFill>
              <w14:schemeClr w14:val="tx1"/>
            </w14:solidFill>
          </w14:textFill>
        </w:rPr>
        <w:t xml:space="preserve">综合管理室库房管理员填写</w:t>
      </w:r>
      <w:r>
        <w:rPr>
          <w:color w:val="000000" w:themeColor="text1"/>
          <w14:textFill>
            <w14:solidFill>
              <w14:schemeClr w14:val="tx1"/>
            </w14:solidFill>
          </w14:textFill>
        </w:rPr>
        <w:t xml:space="preserve">ZJZ/JL32-</w:t>
      </w:r>
      <w:r>
        <w:rPr>
          <w:rFonts w:hint="eastAsia"/>
          <w:color w:val="000000" w:themeColor="text1"/>
          <w:lang w:val="en-US" w:eastAsia="zh-CN"/>
          <w14:textFill>
            <w14:solidFill>
              <w14:schemeClr w14:val="tx1"/>
            </w14:solidFill>
          </w14:textFill>
        </w:rPr>
        <w:t xml:space="preserve">2《</w:t>
      </w:r>
      <w:bookmarkStart w:id="54" w:name="_Toc202949719"/>
      <w:r>
        <w:rPr>
          <w:rFonts w:hint="eastAsia"/>
          <w:color w:val="000000" w:themeColor="text1"/>
          <w:lang w:val="en-US" w:eastAsia="zh-CN"/>
          <w14:textFill>
            <w14:solidFill>
              <w14:schemeClr w14:val="tx1"/>
            </w14:solidFill>
          </w14:textFill>
        </w:rPr>
        <w:t xml:space="preserve">个人劳保防护用品入库登记表</w:t>
      </w:r>
      <w:bookmarkEnd w:id="54"/>
      <w:r>
        <w:rPr>
          <w:rFonts w:hint="eastAsia"/>
          <w:color w:val="000000" w:themeColor="text1"/>
          <w:lang w:val="en-US" w:eastAsia="zh-CN"/>
          <w14:textFill>
            <w14:solidFill>
              <w14:schemeClr w14:val="tx1"/>
            </w14:solidFill>
          </w14:textFill>
        </w:rPr>
        <w:t xml:space="preserve">》</w:t>
      </w:r>
      <w:r>
        <w:rPr>
          <w:color w:val="000000" w:themeColor="text1"/>
          <w14:textFill>
            <w14:solidFill>
              <w14:schemeClr w14:val="tx1"/>
            </w14:solidFill>
          </w14:textFill>
        </w:rPr>
        <w:t xml:space="preserve">。实验室各岗位根据岗位风险，配置必要的安全防护用品及设施（防护眼镜、耳塞、防护服等），由</w:t>
      </w:r>
      <w:r>
        <w:rPr>
          <w:rFonts w:hint="eastAsia"/>
          <w:color w:val="000000" w:themeColor="text1"/>
          <w:lang w:val="en-US" w:eastAsia="zh-CN"/>
          <w14:textFill>
            <w14:solidFill>
              <w14:schemeClr w14:val="tx1"/>
            </w14:solidFill>
          </w14:textFill>
        </w:rPr>
        <w:t xml:space="preserve">检测人员</w:t>
      </w:r>
      <w:r>
        <w:rPr>
          <w:color w:val="000000" w:themeColor="text1"/>
          <w14:textFill>
            <w14:solidFill>
              <w14:schemeClr w14:val="tx1"/>
            </w14:solidFill>
          </w14:textFill>
        </w:rPr>
        <w:t xml:space="preserve">提出申请，经站领导批准后领取发放，物资材料岗填写</w:t>
      </w:r>
      <w:r>
        <w:fldChar w:fldCharType="begin"/>
      </w:r>
      <w:r>
        <w:instrText xml:space="preserve"> HYPERLINK "https://pqsuhhq8yu6.feishu.cn/wiki/D7yAwuiEgiwqgnkqrV0ciyQPnUd" \h </w:instrText>
      </w:r>
      <w:r>
        <w:fldChar w:fldCharType="separate"/>
      </w:r>
      <w:r>
        <w:rPr>
          <w:color w:val="000000" w:themeColor="text1"/>
          <w14:textFill>
            <w14:solidFill>
              <w14:schemeClr w14:val="tx1"/>
            </w14:solidFill>
          </w14:textFill>
        </w:rPr>
        <w:t xml:space="preserve">ZJZ/JL32-1个人劳保用品发放登记表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，各岗位检验检测人员严格按照作业要求正确佩戴防护用品，当防护用品过期或者损坏影响防护功能时，及时上报综合管理室</w:t>
      </w:r>
      <w:r>
        <w:rPr>
          <w:rFonts w:hint="eastAsia"/>
          <w:color w:val="000000" w:themeColor="text1"/>
          <w:lang w:val="en-US" w:eastAsia="zh-CN"/>
          <w14:textFill>
            <w14:solidFill>
              <w14:schemeClr w14:val="tx1"/>
            </w14:solidFill>
          </w14:textFill>
        </w:rPr>
        <w:t xml:space="preserve">更换</w:t>
      </w:r>
      <w:r>
        <w:rPr>
          <w:rFonts w:hint="eastAsia"/>
          <w:color w:val="000000" w:themeColor="text1"/>
          <w:lang w:eastAsia="zh-CN"/>
          <w14:textFill>
            <w14:solidFill>
              <w14:schemeClr w14:val="tx1"/>
            </w14:solidFill>
          </w14:textFill>
        </w:rPr>
        <w:t xml:space="preserve">，</w:t>
      </w:r>
      <w:r>
        <w:rPr>
          <w:rFonts w:hint="eastAsia"/>
          <w:color w:val="000000" w:themeColor="text1"/>
          <w:lang w:val="en-US" w:eastAsia="zh-CN"/>
          <w14:textFill>
            <w14:solidFill>
              <w14:schemeClr w14:val="tx1"/>
            </w14:solidFill>
          </w14:textFill>
        </w:rPr>
        <w:t xml:space="preserve">填写</w:t>
      </w:r>
      <w:r>
        <w:rPr>
          <w:color w:val="000000" w:themeColor="text1"/>
          <w14:textFill>
            <w14:solidFill>
              <w14:schemeClr w14:val="tx1"/>
            </w14:solidFill>
          </w14:textFill>
        </w:rPr>
        <w:t xml:space="preserve">ZJZ/JL32-</w:t>
      </w:r>
      <w:r>
        <w:rPr>
          <w:rFonts w:hint="eastAsia"/>
          <w:color w:val="000000" w:themeColor="text1"/>
          <w:lang w:val="en-US" w:eastAsia="zh-CN"/>
          <w14:textFill>
            <w14:solidFill>
              <w14:schemeClr w14:val="tx1"/>
            </w14:solidFill>
          </w14:textFill>
        </w:rPr>
        <w:t xml:space="preserve">3《劳保用品报废处置记录表》。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4.6.3 综合管理室负责对库存劳防用品的检查，要做好防潮、防雨等事项，保持良好通风，防止劳防用品损坏。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4.6.4 具体各类防护用品的要求，应参考以下标准和内容：</w:t>
      </w:r>
      <w:r>
        <w:rPr>
          <w:color w:val="000000" w:themeColor="text1"/>
          <w14:textFill>
            <w14:solidFill>
              <w14:schemeClr w14:val="tx1"/>
            </w14:solidFill>
          </w14:textFill>
        </w:rPr>
      </w:r>
    </w:p>
    <w:tbl>
      <w:tblPr>
        <w:tblStyle w:val="1988"/>
        <w:tblW w:w="0" w:type="auto"/>
        <w:tblInd w:w="453" w:type="dxa"/>
        <w:tblBorders/>
        <w:tblLayout w:type="fixed"/>
        <w:tblCellMar>
          <w:left w:w="10" w:type="dxa"/>
          <w:top w:w="0" w:type="dxa"/>
          <w:right w:w="10" w:type="dxa"/>
          <w:bottom w:w="0" w:type="dxa"/>
        </w:tblCellMar>
        <w:tblLook w:val="04A0" w:firstRow="1" w:lastRow="0" w:firstColumn="1" w:lastColumn="0" w:noHBand="0" w:noVBand="1"/>
      </w:tblPr>
      <w:tblGrid>
        <w:gridCol w:w="7827"/>
      </w:tblGrid>
      <w:tr>
        <w:trPr/>
        <w:tc>
          <w:tcPr>
            <w:shd w:val="clear" w:color="auto" w:fill="fff5eb"/>
            <w:tcBorders/>
            <w:tcMar>
              <w:left w:w="120" w:type="dxa"/>
              <w:top w:w="60" w:type="dxa"/>
              <w:right w:w="120" w:type="dxa"/>
              <w:bottom w:w="30" w:type="dxa"/>
            </w:tcMar>
            <w:tcW w:w="7827" w:type="dxa"/>
            <w:textDirection w:val="lrTb"/>
            <w:noWrap w:val="false"/>
          </w:tcPr>
          <w:p>
            <w:pPr>
              <w:pStyle w:val="1996"/>
              <w:keepNext w:val="false"/>
              <w:keepLines w:val="false"/>
              <w:numPr>
                <w:ilvl w:val="0"/>
                <w:numId w:val="541"/>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b/>
                <w:color w:val="000000" w:themeColor="text1"/>
                <w14:textFill>
                  <w14:solidFill>
                    <w14:schemeClr w14:val="tx1"/>
                  </w14:solidFill>
                </w14:textFill>
              </w:rPr>
              <w:t xml:space="preserve">服装</w:t>
            </w:r>
            <w:r>
              <w:rPr>
                <w:rFonts w:hint="default"/>
                <w:color w:val="000000" w:themeColor="text1"/>
                <w14:textFill>
                  <w14:solidFill>
                    <w14:schemeClr w14:val="tx1"/>
                  </w14:solidFill>
                </w14:textFill>
              </w:rPr>
              <w:t xml:space="preserve">：适用于所有员工，材质选用棉质或棉质/聚氨类材料，防护服选择符合《GB12014 防静电服》、《GB8965.1防护服装阻燃防护 第1部分 阻燃服》的要求。</w:t>
            </w:r>
            <w:r>
              <w:rPr>
                <w:rFonts w:hint="default"/>
                <w:color w:val="000000" w:themeColor="text1"/>
                <w14:textFill>
                  <w14:solidFill>
                    <w14:schemeClr w14:val="tx1"/>
                  </w14:solidFill>
                </w14:textFill>
              </w:rPr>
            </w:r>
          </w:p>
          <w:p>
            <w:pPr>
              <w:pStyle w:val="1996"/>
              <w:keepNext w:val="false"/>
              <w:keepLines w:val="false"/>
              <w:numPr>
                <w:ilvl w:val="0"/>
                <w:numId w:val="542"/>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b/>
                <w:color w:val="000000" w:themeColor="text1"/>
                <w14:textFill>
                  <w14:solidFill>
                    <w14:schemeClr w14:val="tx1"/>
                  </w14:solidFill>
                </w14:textFill>
              </w:rPr>
              <w:t xml:space="preserve">眼面部防护：</w:t>
            </w:r>
            <w:r>
              <w:rPr>
                <w:rFonts w:hint="default"/>
                <w:color w:val="000000" w:themeColor="text1"/>
                <w14:textFill>
                  <w14:solidFill>
                    <w14:schemeClr w14:val="tx1"/>
                  </w14:solidFill>
                </w14:textFill>
              </w:rPr>
              <w:t xml:space="preserve">当存在对眼睛造成损伤或通过眼睛对人体产生损害的风险时，要佩戴眼护具，当有液体喷溅时，应佩戴专业眼睛，如封闭眼罩或护目镜，护目镜的选择要符合《GB14866个人用眼护具技术要求》的规定。眼面部防护用品适合下列岗位：玻璃器皿放气、充气或加压；倾倒腐蚀性物质；使用超低温液体；进行燃烧操作；存在爆炸或内爆的风险；使用可能对皮肤造成直接损伤的化学品；使用能通过皮肤、眼睛或鼻子等任何渠道被人体吸收的化学品。佩戴普通光学眼镜或隐性眼镜均不能代替眼护具。</w:t>
            </w:r>
            <w:r>
              <w:rPr>
                <w:rFonts w:hint="default"/>
                <w:color w:val="000000" w:themeColor="text1"/>
                <w14:textFill>
                  <w14:solidFill>
                    <w14:schemeClr w14:val="tx1"/>
                  </w14:solidFill>
                </w14:textFill>
              </w:rPr>
            </w:r>
          </w:p>
          <w:p>
            <w:pPr>
              <w:pStyle w:val="1996"/>
              <w:keepNext w:val="false"/>
              <w:keepLines w:val="false"/>
              <w:numPr>
                <w:ilvl w:val="0"/>
                <w:numId w:val="54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b/>
                <w:color w:val="000000" w:themeColor="text1"/>
                <w14:textFill>
                  <w14:solidFill>
                    <w14:schemeClr w14:val="tx1"/>
                  </w14:solidFill>
                </w14:textFill>
              </w:rPr>
              <w:t xml:space="preserve">手套：</w:t>
            </w:r>
            <w:r>
              <w:rPr>
                <w:rFonts w:hint="default"/>
                <w:color w:val="000000" w:themeColor="text1"/>
                <w14:textFill>
                  <w14:solidFill>
                    <w14:schemeClr w14:val="tx1"/>
                  </w14:solidFill>
                </w14:textFill>
              </w:rPr>
              <w:t xml:space="preserve">根据各岗位接触的材料、试剂等性质不同，选合适长度、材质、重量的手套；任何护肤品防护均不能代替手套防护；不同危险源选择不同的手套，可参照相关的SDS和制造商提供的渗透能力表以及《GB/T12624手部防护 通用技术条件及测试方法》、《GB/T12624手部防护 通用技术条件及测试方法》、《GB/T22845防静电手套》、《GB/T18843浸塑手套》等标准。</w:t>
            </w:r>
            <w:r>
              <w:rPr>
                <w:rFonts w:hint="default"/>
                <w:color w:val="000000" w:themeColor="text1"/>
                <w14:textFill>
                  <w14:solidFill>
                    <w14:schemeClr w14:val="tx1"/>
                  </w14:solidFill>
                </w14:textFill>
              </w:rPr>
            </w:r>
          </w:p>
          <w:p>
            <w:pPr>
              <w:pStyle w:val="1996"/>
              <w:keepNext w:val="false"/>
              <w:keepLines w:val="false"/>
              <w:numPr>
                <w:ilvl w:val="0"/>
                <w:numId w:val="54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b/>
                <w:color w:val="000000" w:themeColor="text1"/>
                <w14:textFill>
                  <w14:solidFill>
                    <w14:schemeClr w14:val="tx1"/>
                  </w14:solidFill>
                </w14:textFill>
              </w:rPr>
              <w:t xml:space="preserve">安全鞋类：</w:t>
            </w:r>
            <w:r>
              <w:rPr>
                <w:rFonts w:hint="default"/>
                <w:color w:val="000000" w:themeColor="text1"/>
                <w14:textFill>
                  <w14:solidFill>
                    <w14:schemeClr w14:val="tx1"/>
                  </w14:solidFill>
                </w14:textFill>
              </w:rPr>
              <w:t xml:space="preserve">按照国标《GB21146个体防护装备职业鞋》、《GB21147个体防护装备防护鞋》、《GB21148个体防护装备安全鞋》、《GB12011足部防护 电绝缘鞋》标准的相关规定选择合适的鞋类。</w:t>
            </w:r>
            <w:r>
              <w:rPr>
                <w:rFonts w:hint="default"/>
                <w:color w:val="000000" w:themeColor="text1"/>
                <w14:textFill>
                  <w14:solidFill>
                    <w14:schemeClr w14:val="tx1"/>
                  </w14:solidFill>
                </w14:textFill>
              </w:rPr>
            </w:r>
          </w:p>
          <w:p>
            <w:pPr>
              <w:pStyle w:val="1996"/>
              <w:keepNext w:val="false"/>
              <w:keepLines w:val="false"/>
              <w:numPr>
                <w:ilvl w:val="0"/>
                <w:numId w:val="54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b/>
                <w:color w:val="000000" w:themeColor="text1"/>
                <w14:textFill>
                  <w14:solidFill>
                    <w14:schemeClr w14:val="tx1"/>
                  </w14:solidFill>
                </w14:textFill>
              </w:rPr>
              <w:t xml:space="preserve">呼吸防护：</w:t>
            </w:r>
            <w:r>
              <w:rPr>
                <w:rFonts w:hint="default"/>
                <w:color w:val="000000" w:themeColor="text1"/>
                <w14:textFill>
                  <w14:solidFill>
                    <w14:schemeClr w14:val="tx1"/>
                  </w14:solidFill>
                </w14:textFill>
              </w:rPr>
              <w:t xml:space="preserve">当实验室中存在有害的灰尘、雾、烟和蒸汽时，应按GB/T18664、GB2890、GB6220、GB2626和GB/T16556标准的相关规定选择并使用合适的呼吸用品。当某一操作需要持续性（每天）使用呼吸器时，宜调整该操作以最大限度降低或消除其对呼吸系统的危害。</w:t>
            </w:r>
            <w:r>
              <w:rPr>
                <w:rFonts w:hint="default"/>
                <w:color w:val="000000" w:themeColor="text1"/>
                <w14:textFill>
                  <w14:solidFill>
                    <w14:schemeClr w14:val="tx1"/>
                  </w14:solidFill>
                </w14:textFill>
              </w:rPr>
            </w:r>
          </w:p>
          <w:p>
            <w:pPr>
              <w:pStyle w:val="1996"/>
              <w:keepNext w:val="false"/>
              <w:keepLines w:val="false"/>
              <w:numPr>
                <w:ilvl w:val="0"/>
                <w:numId w:val="54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b/>
                <w:color w:val="000000" w:themeColor="text1"/>
                <w14:textFill>
                  <w14:solidFill>
                    <w14:schemeClr w14:val="tx1"/>
                  </w14:solidFill>
                </w14:textFill>
              </w:rPr>
              <w:t xml:space="preserve">安全帽：</w:t>
            </w:r>
            <w:r>
              <w:rPr>
                <w:rFonts w:hint="default"/>
                <w:color w:val="000000" w:themeColor="text1"/>
                <w14:textFill>
                  <w14:solidFill>
                    <w14:schemeClr w14:val="tx1"/>
                  </w14:solidFill>
                </w14:textFill>
              </w:rPr>
              <w:t xml:space="preserve">当存在坠落物或对头部产生冲击危险时，应按国标《GB2811安全帽》选择合适的安全帽。安全帽有使用期限，过了使用期限，必须更换。</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 </w:t>
      </w:r>
      <w:r>
        <w:rPr>
          <w:b/>
          <w:color w:val="000000" w:themeColor="text1"/>
          <w14:textFill>
            <w14:solidFill>
              <w14:schemeClr w14:val="tx1"/>
            </w14:solidFill>
          </w14:textFill>
        </w:rPr>
        <w:t xml:space="preserve">操作安全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4.7.1 检验检测人员应熟悉掌握设备的性能和结构原理，严格执行安全操作规程和实施细则作业，有权拒绝违章作业的指令、对他人违章作业加以劝阻和制止。</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4.7.2 实验室由于易燃、易爆、有毒、有害物品多，检测仪器设备较为集中，工作环境相对封闭，针对没有操作规程的非常规作业主要包括新的作业、非常规性（临时）的作业、承包商作业、改变现有的作业等应成立JSA作业安全分析小组，开展作业安全分析（JSA）。</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4.7.3 现场作业人员遵守实验检测技术中心及现场单位的HSE管理规定，服从属地单位管理。现场作业要防止（监控）器械掉落、硫化氢和油气泄露等。</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4.7.4 现场作业人员在硫化氢管控区域应严格按照分级管控要求佩戴硫化氢报警仪，正压式呼吸器等器具。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4.7.5 环境监测、油水气现场取样等检测服务工作时要保证两名或两名以上工作人员，其中1人进行监护。管线卸压时要站在闸门一侧，防止伤人。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4.7.6 工作人员外出要穿戴符合规定的工服、工鞋、安全帽（未做要求的除外）、手套、防护眼镜等劳动防护用品，冬季作业做好防冻伤措施，夏季作业要做好高温防中暑措施。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 用水用电安全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4.8.1 操作电器设备时，手应保持干燥；电器设备和仪器应防潮、防水，严禁使用湿布擦拭带电电器。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4.8.2 实验室不得超负荷用电。不得乱拉临时电线，套接接线板；电器设备和电路不得私自拆动和任意修理，不得自行接加电器设备和电路。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4.8.3 检验检测人员不得随意离岗，工作完成后应检查仪器、电源、气源是否关闭，下班前关好水、电、气、门、窗。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4.9 </w:t>
      </w:r>
      <w:r>
        <w:rPr>
          <w:b/>
          <w:color w:val="000000" w:themeColor="text1"/>
          <w14:textFill>
            <w14:solidFill>
              <w14:schemeClr w14:val="tx1"/>
            </w14:solidFill>
          </w14:textFill>
        </w:rPr>
        <w:t xml:space="preserve">职业健康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安全员每年组织实验室室主任对本站各场所职业健康危害因素进行识别，编制ZJZ/JL 31-1 质量检测站岗位风险识别清单，并上报实验检测技术中心生产运行室。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涉及职业危害的场所，必须悬挂职业危害因素告知牌，告知牌内容应包括（危害因素名称、危害标识、职业危害内容、理化特性、应急处理措施、防护措施、应急电话），告知牌样式见下图，定期对主要危险因素进行检测，检测结果及时公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涉及职业病危害因素的岗位应为检验检测人员配备符合国家标准要求的个体防护用品，并建立个人防护用品台帐。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职业病防护培训应纳入质量检测站培训计划。</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涉及职业病危害因素的职工每年进行一次职业病体检，有职业病及时治疗，并调离岗位。新入职人员和离岗人员均应进行入职前和离岗后的职业病体检。中心安全环保岗建立职业健康档案。</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4140"/>
        <w:gridCol w:w="4140"/>
      </w:tblGrid>
      <w:tr>
        <w:trPr/>
        <w:tc>
          <w:tcPr>
            <w:tcBorders/>
            <w:tcMar>
              <w:left w:w="120" w:type="dxa"/>
              <w:top w:w="60" w:type="dxa"/>
              <w:right w:w="120" w:type="dxa"/>
              <w:bottom w:w="30" w:type="dxa"/>
            </w:tcMar>
            <w:tcW w:w="414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2476500" cy="1524000"/>
                      <wp:effectExtent l="0" t="0" r="0" b="0"/>
                      <wp:docPr id="15"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0"/>
                              <pic:cNvPicPr>
                                <a:picLocks noChangeAspect="1"/>
                              </pic:cNvPicPr>
                              <pic:nvPr/>
                            </pic:nvPicPr>
                            <pic:blipFill>
                              <a:blip r:embed="rId30"/>
                              <a:stretch/>
                            </pic:blipFill>
                            <pic:spPr bwMode="auto">
                              <a:xfrm>
                                <a:off x="0" y="0"/>
                                <a:ext cx="2476500" cy="1524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95.00pt;height:120.00pt;mso-wrap-distance-left:0.00pt;mso-wrap-distance-top:0.00pt;mso-wrap-distance-right:0.00pt;mso-wrap-distance-bottom:0.00pt;z-index:1;" stroked="false">
                      <v:imagedata r:id="rId30" o:title=""/>
                      <o:lock v:ext="edit" rotation="t"/>
                    </v:shape>
                  </w:pict>
                </mc:Fallback>
              </mc:AlternateConten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职业危害因素告知牌</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40" w:type="dxa"/>
            <w:textDirection w:val="lrTb"/>
            <w:noWrap w:val="false"/>
          </w:tcPr>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2162175" cy="1555115"/>
                      <wp:effectExtent l="0" t="0" r="9525" b="6985"/>
                      <wp:docPr id="16"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1"/>
                              <pic:cNvPicPr>
                                <a:picLocks noChangeAspect="1"/>
                              </pic:cNvPicPr>
                              <pic:nvPr/>
                            </pic:nvPicPr>
                            <pic:blipFill>
                              <a:blip r:embed="rId31"/>
                              <a:stretch/>
                            </pic:blipFill>
                            <pic:spPr bwMode="auto">
                              <a:xfrm>
                                <a:off x="0" y="0"/>
                                <a:ext cx="2162175" cy="15551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70.25pt;height:122.45pt;mso-wrap-distance-left:0.00pt;mso-wrap-distance-top:0.00pt;mso-wrap-distance-right:0.00pt;mso-wrap-distance-bottom:0.00pt;z-index:1;" stroked="false">
                      <v:imagedata r:id="rId31" o:title=""/>
                      <o:lock v:ext="edit" rotation="t"/>
                    </v:shape>
                  </w:pict>
                </mc:Fallback>
              </mc:AlternateConten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职业病危害因素监测点</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 </w:t>
      </w:r>
      <w:r>
        <w:rPr>
          <w:b/>
          <w:color w:val="000000" w:themeColor="text1"/>
          <w14:textFill>
            <w14:solidFill>
              <w14:schemeClr w14:val="tx1"/>
            </w14:solidFill>
          </w14:textFill>
        </w:rPr>
        <w:t xml:space="preserve">三废处理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4.10.1 实验室按照</w:t>
      </w:r>
      <w:r>
        <w:fldChar w:fldCharType="begin"/>
      </w:r>
      <w:r>
        <w:instrText xml:space="preserve"> HYPERLINK "https://pqsuhhq8yu6.feishu.cn/wiki/Oy5WwQTi3i94g4k6SuqcB2uanFc" \h </w:instrText>
      </w:r>
      <w:r>
        <w:fldChar w:fldCharType="separate"/>
      </w:r>
      <w:r>
        <w:rPr>
          <w:color w:val="000000" w:themeColor="text1"/>
          <w14:textFill>
            <w14:solidFill>
              <w14:schemeClr w14:val="tx1"/>
            </w14:solidFill>
          </w14:textFill>
        </w:rPr>
        <w:t xml:space="preserve">ZJZ/CX-31 实验室危险废物管理程序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对实验室产生的废物进行管理和控制。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4.10.2 实验室应采取定量收集，分类存放，密封储存，合规处置的原则开展实验室废水污染防治工作。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4.10.3 禁止将化学废液直接排入市政污水系统或生活污水处理系统。</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4.10.4 废液的产生、交接和处置应建立台账并留有明确记录。确保废液流转过程可溯源。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4.10.5 产生废气污染物的试验过程，应在通风橱或局部排气罩内进行，有组织排放。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4.10.6 实验室宜设置满足排放标准要求的废气收集处理系统，应对废气收集处理系统进行维护，确保污染物达标排放。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4.10.7 实验室应建设符合标准要求的危险废物贮存设施，并加强运行管理、维护和监控，保障其正常运行。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4.10.8 实验室应选择有资质的危险废物运输和外委处置单位，按要求办理转移联单，并对外委活动进行全过程跟踪、监督。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w:t>
      </w:r>
      <w:r>
        <w:rPr>
          <w:b/>
          <w:color w:val="000000" w:themeColor="text1"/>
          <w14:textFill>
            <w14:solidFill>
              <w14:schemeClr w14:val="tx1"/>
            </w14:solidFill>
          </w14:textFill>
        </w:rPr>
        <w:t xml:space="preserve">公共安全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4.11.1 实验室应收集、分析公共安全信息，实验室所在地及周边公共安全风险并采取防控措施。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4.11.2 实验室应明确交通工具、司乘人员、货物装卸和行驶路线等管理要求，管控交通风险。</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4.11.3 按照新疆地区反恐、治安管理等要求，由中心生产运行室安全环保岗组织</w:t>
      </w:r>
      <w:r>
        <w:rPr>
          <w:rFonts w:hint="eastAsia"/>
          <w:color w:val="000000" w:themeColor="text1"/>
          <w14:textFill>
            <w14:solidFill>
              <w14:schemeClr w14:val="tx1"/>
            </w14:solidFill>
          </w14:textFill>
        </w:rPr>
        <w:t xml:space="preserve">质检站</w:t>
      </w:r>
      <w:r>
        <w:rPr>
          <w:color w:val="000000" w:themeColor="text1"/>
          <w14:textFill>
            <w14:solidFill>
              <w14:schemeClr w14:val="tx1"/>
            </w14:solidFill>
          </w14:textFill>
        </w:rPr>
        <w:t xml:space="preserve">安全管理员开展中心各场所重点部位的识别，建立中心重点部位识别清单，按要求建立无死角监控措施、防盗措施及人防措施。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4.11.4 实行</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两特两重</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公共安全升级管理。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w:t>
      </w:r>
      <w:r>
        <w:rPr>
          <w:b/>
          <w:color w:val="000000" w:themeColor="text1"/>
          <w14:textFill>
            <w14:solidFill>
              <w14:schemeClr w14:val="tx1"/>
            </w14:solidFill>
          </w14:textFill>
        </w:rPr>
        <w:t xml:space="preserve">应急管理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4.12.1 站长负责组织各实验室按照《GB29639-2013 生产经营单位安全生产事故应急预案编写导则》和《生产安全事故应急预案管理办法（第17号）》要求编制应急预案，经审核后报中心生产运行室备案，中心应急预案由生产运行室安全环保岗在属地安全环保部门进行备案，预案每三年修订一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4.12.2 本站应根据自身内部因素（如新建检测项目等情况）和外部环境的变化，及时更新应急预案并及时评审、备案。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4.12.3 本站加强应急知识的宣传、教育和培训，定期组织应急预案演练，实现应急预案持续改进。</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4.12.4 质量检测站每年组织两次站级应急预案演练，定期检验确认应急的响应能力。应急演练由站长/技术总监/副站长负责督导，填写</w:t>
      </w:r>
      <w:r>
        <w:fldChar w:fldCharType="begin"/>
      </w:r>
      <w:r>
        <w:instrText xml:space="preserve"> HYPERLINK "https://pqsuhhq8yu6.feishu.cn/wiki/AgKgwYZrhiMUnYkMLYRcp3UenQc" \h </w:instrText>
      </w:r>
      <w:r>
        <w:fldChar w:fldCharType="separate"/>
      </w:r>
      <w:r>
        <w:rPr>
          <w:color w:val="000000" w:themeColor="text1"/>
          <w14:textFill>
            <w14:solidFill>
              <w14:schemeClr w14:val="tx1"/>
            </w14:solidFill>
          </w14:textFill>
        </w:rPr>
        <w:t xml:space="preserve">ZJZ/JL36-1应急准备和响应演练记录表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并留挡。应急演习后，负责督导的站领导应就其制订的合理性、适用性和可操作性进行评价，必要时予以修正和改进。根据检验和演练情况，必要时修订相关程序、作业文件。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4.12.5 依据事故大小、紧急状态、风险程度及管理权限分为</w:t>
      </w:r>
      <w:r>
        <w:rPr>
          <w:rFonts w:hint="eastAsia" w:ascii="宋体" w:hAnsi="宋体" w:eastAsia="宋体" w:cs="宋体"/>
          <w:color w:val="000000" w:themeColor="text1"/>
          <w14:textFill>
            <w14:solidFill>
              <w14:schemeClr w14:val="tx1"/>
            </w14:solidFill>
          </w14:textFill>
        </w:rPr>
        <w:t xml:space="preserve">Ⅰ</w:t>
      </w:r>
      <w:r>
        <w:rPr>
          <w:color w:val="000000" w:themeColor="text1"/>
          <w14:textFill>
            <w14:solidFill>
              <w14:schemeClr w14:val="tx1"/>
            </w14:solidFill>
          </w14:textFill>
        </w:rPr>
        <w:t xml:space="preserve">、</w:t>
      </w:r>
      <w:r>
        <w:rPr>
          <w:rFonts w:hint="eastAsia" w:ascii="宋体" w:hAnsi="宋体" w:eastAsia="宋体" w:cs="宋体"/>
          <w:color w:val="000000" w:themeColor="text1"/>
          <w14:textFill>
            <w14:solidFill>
              <w14:schemeClr w14:val="tx1"/>
            </w14:solidFill>
          </w14:textFill>
        </w:rPr>
        <w:t xml:space="preserve">Ⅱ</w:t>
      </w:r>
      <w:r>
        <w:rPr>
          <w:color w:val="000000" w:themeColor="text1"/>
          <w14:textFill>
            <w14:solidFill>
              <w14:schemeClr w14:val="tx1"/>
            </w14:solidFill>
          </w14:textFill>
        </w:rPr>
        <w:t xml:space="preserve">、</w:t>
      </w:r>
      <w:r>
        <w:rPr>
          <w:rFonts w:hint="eastAsia" w:ascii="宋体" w:hAnsi="宋体" w:eastAsia="宋体" w:cs="宋体"/>
          <w:color w:val="000000" w:themeColor="text1"/>
          <w14:textFill>
            <w14:solidFill>
              <w14:schemeClr w14:val="tx1"/>
            </w14:solidFill>
          </w14:textFill>
        </w:rPr>
        <w:t xml:space="preserve">Ⅲ</w:t>
      </w:r>
      <w:r>
        <w:rPr>
          <w:color w:val="000000" w:themeColor="text1"/>
          <w14:textFill>
            <w14:solidFill>
              <w14:schemeClr w14:val="tx1"/>
            </w14:solidFill>
          </w14:textFill>
        </w:rPr>
        <w:t xml:space="preserve">三级预案管理。</w:t>
      </w:r>
      <w:r>
        <w:rPr>
          <w:color w:val="000000" w:themeColor="text1"/>
          <w14:textFill>
            <w14:solidFill>
              <w14:schemeClr w14:val="tx1"/>
            </w14:solidFill>
          </w14:textFill>
        </w:rPr>
      </w:r>
    </w:p>
    <w:p>
      <w:pPr>
        <w:pStyle w:val="1996"/>
        <w:numPr>
          <w:ilvl w:val="0"/>
          <w:numId w:val="547"/>
        </w:numPr>
        <w:pBdr/>
        <w:spacing/>
        <w:ind/>
        <w:rPr>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 xml:space="preserve">Ⅰ</w:t>
      </w:r>
      <w:r>
        <w:rPr>
          <w:color w:val="000000" w:themeColor="text1"/>
          <w14:textFill>
            <w14:solidFill>
              <w14:schemeClr w14:val="tx1"/>
            </w14:solidFill>
          </w14:textFill>
        </w:rPr>
        <w:t xml:space="preserve">级预案适用于单体设备设施小范围出现事故，尚未构成人员伤害和尚未构成系统严重损坏危险的情形，由基层单位启动相应的应急处置预案，并及时上报生产运行室。</w:t>
      </w:r>
      <w:r>
        <w:rPr>
          <w:color w:val="000000" w:themeColor="text1"/>
          <w14:textFill>
            <w14:solidFill>
              <w14:schemeClr w14:val="tx1"/>
            </w14:solidFill>
          </w14:textFill>
        </w:rPr>
      </w:r>
    </w:p>
    <w:p>
      <w:pPr>
        <w:pStyle w:val="1996"/>
        <w:numPr>
          <w:ilvl w:val="0"/>
          <w:numId w:val="548"/>
        </w:numPr>
        <w:pBdr/>
        <w:spacing/>
        <w:ind/>
        <w:rPr>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 xml:space="preserve">Ⅱ</w:t>
      </w:r>
      <w:r>
        <w:rPr>
          <w:color w:val="000000" w:themeColor="text1"/>
          <w14:textFill>
            <w14:solidFill>
              <w14:schemeClr w14:val="tx1"/>
            </w14:solidFill>
          </w14:textFill>
        </w:rPr>
        <w:t xml:space="preserve">级预案适用于局部范围出现危险事故，已经造成少数人员受伤和系统的局部损坏，但没有危险扩散的条件和可能，实验检测技术中心应急领导小组启动中心应急响应预案，并上报油田公司。</w:t>
      </w:r>
      <w:r>
        <w:rPr>
          <w:color w:val="000000" w:themeColor="text1"/>
          <w14:textFill>
            <w14:solidFill>
              <w14:schemeClr w14:val="tx1"/>
            </w14:solidFill>
          </w14:textFill>
        </w:rPr>
      </w:r>
    </w:p>
    <w:p>
      <w:pPr>
        <w:pStyle w:val="1996"/>
        <w:numPr>
          <w:ilvl w:val="0"/>
          <w:numId w:val="549"/>
        </w:numPr>
        <w:pBdr/>
        <w:spacing/>
        <w:ind/>
        <w:rPr>
          <w:color w:val="000000" w:themeColor="text1"/>
          <w14:textFill>
            <w14:solidFill>
              <w14:schemeClr w14:val="tx1"/>
            </w14:solidFill>
          </w14:textFill>
        </w:rPr>
      </w:pPr>
      <w:r>
        <w:rPr>
          <w:rFonts w:ascii="宋体" w:hAnsi="宋体" w:eastAsia="宋体" w:cs="宋体"/>
          <w:color w:val="000000" w:themeColor="text1"/>
          <w14:textFill>
            <w14:solidFill>
              <w14:schemeClr w14:val="tx1"/>
            </w14:solidFill>
          </w14:textFill>
        </w:rPr>
        <w:t xml:space="preserve">Ⅲ</w:t>
      </w:r>
      <w:r>
        <w:rPr>
          <w:color w:val="000000" w:themeColor="text1"/>
          <w14:textFill>
            <w14:solidFill>
              <w14:schemeClr w14:val="tx1"/>
            </w14:solidFill>
          </w14:textFill>
        </w:rPr>
        <w:t xml:space="preserve">级现场存在重大危险源。已有人员伤亡、系统严重损坏以及危险介质大量泄漏等情况，随时可能扩大蔓延，造成区域性灾害。由油田公司应急领导小组启动公司应急救援预案，并上报股份公司。</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4.12.6 当发生安全事件后，站长应组织相关人员对事件进行调查，并根据调查结果追究相应责任。按照</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四不放过</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原则接受教训，防止同类事故重复发生。</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四不放过</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具体是指：</w:t>
      </w:r>
      <w:r>
        <w:rPr>
          <w:color w:val="000000" w:themeColor="text1"/>
          <w14:textFill>
            <w14:solidFill>
              <w14:schemeClr w14:val="tx1"/>
            </w14:solidFill>
          </w14:textFill>
        </w:rPr>
      </w:r>
    </w:p>
    <w:p>
      <w:pPr>
        <w:pStyle w:val="1996"/>
        <w:numPr>
          <w:ilvl w:val="0"/>
          <w:numId w:val="55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事故原因未查清不放过；</w:t>
      </w:r>
      <w:r>
        <w:rPr>
          <w:color w:val="000000" w:themeColor="text1"/>
          <w14:textFill>
            <w14:solidFill>
              <w14:schemeClr w14:val="tx1"/>
            </w14:solidFill>
          </w14:textFill>
        </w:rPr>
      </w:r>
    </w:p>
    <w:p>
      <w:pPr>
        <w:pStyle w:val="1996"/>
        <w:numPr>
          <w:ilvl w:val="0"/>
          <w:numId w:val="551"/>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责任人员未受到处理不放过；</w:t>
      </w:r>
      <w:r>
        <w:rPr>
          <w:color w:val="000000" w:themeColor="text1"/>
          <w14:textFill>
            <w14:solidFill>
              <w14:schemeClr w14:val="tx1"/>
            </w14:solidFill>
          </w14:textFill>
        </w:rPr>
      </w:r>
    </w:p>
    <w:p>
      <w:pPr>
        <w:pStyle w:val="1996"/>
        <w:numPr>
          <w:ilvl w:val="0"/>
          <w:numId w:val="552"/>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事故责任人和周围群众没有受到教育不放过；</w:t>
      </w:r>
      <w:r>
        <w:rPr>
          <w:color w:val="000000" w:themeColor="text1"/>
          <w14:textFill>
            <w14:solidFill>
              <w14:schemeClr w14:val="tx1"/>
            </w14:solidFill>
          </w14:textFill>
        </w:rPr>
      </w:r>
    </w:p>
    <w:p>
      <w:pPr>
        <w:pStyle w:val="1996"/>
        <w:numPr>
          <w:ilvl w:val="0"/>
          <w:numId w:val="553"/>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事故指定的切实可行的整改措施未落实不放过。</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w:t>
      </w:r>
      <w:r>
        <w:rPr>
          <w:b/>
          <w:color w:val="000000" w:themeColor="text1"/>
          <w14:textFill>
            <w14:solidFill>
              <w14:schemeClr w14:val="tx1"/>
            </w14:solidFill>
          </w14:textFill>
        </w:rPr>
        <w:t xml:space="preserve">教育培训</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4.12.1 对于国家法律、法规要求人员取证的，应取得相关证书，质量检测站应保证其按时参加相关培训和取证。安全管理员负责识别各岗位安全环保相关取证要求，建立安全取证矩阵表，根据安全矩阵表组织本站岗位人员取证，确保资格证书在有效期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4.12.2 实验室人员培训计划应包括实验室HSE管理内容，培训内容与实验室当前和预期的工作相适应。</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4.12.2 新入职员工或转岗员工须经过三级教育，并进行效果评价。其中一级为中心级，由实验检测技术中心生产运行室组织；二级为站级，由安全员组织实施；三级为班组级，由实验室室主任组织，培训后须经过考核合格后，才能进入工作岗位，安全员负责填写</w:t>
      </w:r>
      <w:r>
        <w:fldChar w:fldCharType="begin"/>
      </w:r>
      <w:r>
        <w:instrText xml:space="preserve"> HYPERLINK "https://pqsuhhq8yu6.feishu.cn/wiki/QKSowgEVWi4bhik1Ongc0d1Tnre" \h </w:instrText>
      </w:r>
      <w:r>
        <w:fldChar w:fldCharType="separate"/>
      </w:r>
      <w:r>
        <w:rPr>
          <w:color w:val="000000" w:themeColor="text1"/>
          <w14:textFill>
            <w14:solidFill>
              <w14:schemeClr w14:val="tx1"/>
            </w14:solidFill>
          </w14:textFill>
        </w:rPr>
        <w:t xml:space="preserve">ZJZ/JL31-1-2新上岗/转岗人员安全培训记录（站级）</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，实验室室主任负责填写</w:t>
      </w:r>
      <w:r>
        <w:fldChar w:fldCharType="begin"/>
      </w:r>
      <w:r>
        <w:instrText xml:space="preserve"> HYPERLINK "https://pqsuhhq8yu6.feishu.cn/wiki/Iwc6wjg5IiJUt4kMkGOct90Wnff" \h </w:instrText>
      </w:r>
      <w:r>
        <w:fldChar w:fldCharType="separate"/>
      </w:r>
      <w:r>
        <w:rPr>
          <w:color w:val="000000" w:themeColor="text1"/>
          <w14:textFill>
            <w14:solidFill>
              <w14:schemeClr w14:val="tx1"/>
            </w14:solidFill>
          </w14:textFill>
        </w:rPr>
        <w:t xml:space="preserve">ZJZ/JL31-1-3新上岗/转岗人员安全培训记录（班组级）</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4.12.3 转岗员工或离岗超一年返岗员工，需重新开展站级和班组级安全环保教育培训。三级安全环保教育培训均需填写</w:t>
      </w:r>
      <w:r>
        <w:fldChar w:fldCharType="begin"/>
      </w:r>
      <w:r>
        <w:instrText xml:space="preserve"> HYPERLINK "https://pqsuhhq8yu6.feishu.cn/wiki/SSe5wOdAYiFbGfkQ1cPctVkMnTb" \h </w:instrText>
      </w:r>
      <w:r>
        <w:fldChar w:fldCharType="separate"/>
      </w:r>
      <w:r>
        <w:rPr>
          <w:color w:val="000000" w:themeColor="text1"/>
          <w14:textFill>
            <w14:solidFill>
              <w14:schemeClr w14:val="tx1"/>
            </w14:solidFill>
          </w14:textFill>
        </w:rPr>
        <w:t xml:space="preserve">ZJZ/JL 03-5 培训记录表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，培训内容执行《生产经营单位安全培训》规定，培训及评价记录完成后由安全管理岗统一保存。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4.12.4 新入职人员必须经过岗位培训，按照</w:t>
      </w:r>
      <w:r>
        <w:fldChar w:fldCharType="begin"/>
      </w:r>
      <w:r>
        <w:instrText xml:space="preserve"> HYPERLINK "https://pqsuhhq8yu6.feishu.cn/wiki/Ca8kwtd4ziBnlakqsv0c68a6nNd" \h </w:instrText>
      </w:r>
      <w:r>
        <w:fldChar w:fldCharType="separate"/>
      </w:r>
      <w:r>
        <w:rPr>
          <w:color w:val="000000" w:themeColor="text1"/>
          <w14:textFill>
            <w14:solidFill>
              <w14:schemeClr w14:val="tx1"/>
            </w14:solidFill>
          </w14:textFill>
        </w:rPr>
        <w:t xml:space="preserve">ZJZ/CX-3 人员管理与培训程序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，取得上岗项目和上岗设备授权考核合格后，持证上岗。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4.12.5 各实验室根据西北油田分公司HSE体系要求开展班组安全培训教育活动。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w:t>
      </w:r>
      <w:r>
        <w:rPr>
          <w:b/>
          <w:color w:val="000000" w:themeColor="text1"/>
          <w14:textFill>
            <w14:solidFill>
              <w14:schemeClr w14:val="tx1"/>
            </w14:solidFill>
          </w14:textFill>
        </w:rPr>
        <w:t xml:space="preserve">安全检查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室主任不定期检查本室内务情况，发现问题，及时整改。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安全管理员每周对实验室及作业现场进行安全检查，并填写</w:t>
      </w:r>
      <w:r>
        <w:fldChar w:fldCharType="begin"/>
      </w:r>
      <w:r>
        <w:instrText xml:space="preserve"> HYPERLINK "https://pqsuhhq8yu6.feishu.cn/wiki/WNO6wGLYEibRrEkOVlzcEW4anoH" \h </w:instrText>
      </w:r>
      <w:r>
        <w:fldChar w:fldCharType="separate"/>
      </w:r>
      <w:r>
        <w:rPr>
          <w:color w:val="000000" w:themeColor="text1"/>
          <w14:textFill>
            <w14:solidFill>
              <w14:schemeClr w14:val="tx1"/>
            </w14:solidFill>
          </w14:textFill>
        </w:rPr>
        <w:t xml:space="preserve">ZJZ/JL31-2实验室安全检查记录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站领导（站长、技术总监、副站长）及质控培训人员每月对实验过程、作业现场进行安全、质量、计量及设备检查，分别填写</w:t>
      </w:r>
      <w:r>
        <w:fldChar w:fldCharType="begin"/>
      </w:r>
      <w:r>
        <w:instrText xml:space="preserve"> HYPERLINK "https://pqsuhhq8yu6.feishu.cn/wiki/YWwqwPe89iA3fzkLs5PcAPDHnOc" \h </w:instrText>
      </w:r>
      <w:r>
        <w:fldChar w:fldCharType="separate"/>
      </w:r>
      <w:r>
        <w:rPr>
          <w:color w:val="000000" w:themeColor="text1"/>
          <w14:textFill>
            <w14:solidFill>
              <w14:schemeClr w14:val="tx1"/>
            </w14:solidFill>
          </w14:textFill>
        </w:rPr>
        <w:t xml:space="preserve">ZJZ/JL 31</w:t>
      </w:r>
      <w:r>
        <w:rPr>
          <w:rFonts w:hint="eastAsia"/>
          <w:color w:val="000000" w:themeColor="text1"/>
          <w14:textFill>
            <w14:solidFill>
              <w14:schemeClr w14:val="tx1"/>
            </w14:solidFill>
          </w14:textFill>
        </w:rPr>
        <w:t xml:space="preserve">-</w:t>
      </w:r>
      <w:r>
        <w:rPr>
          <w:color w:val="000000" w:themeColor="text1"/>
          <w14:textFill>
            <w14:solidFill>
              <w14:schemeClr w14:val="tx1"/>
            </w14:solidFill>
          </w14:textFill>
        </w:rPr>
        <w:t xml:space="preserve">2 实验室</w:t>
      </w:r>
      <w:r>
        <w:rPr>
          <w:rFonts w:hint="eastAsia"/>
          <w:color w:val="000000" w:themeColor="text1"/>
          <w14:textFill>
            <w14:solidFill>
              <w14:schemeClr w14:val="tx1"/>
            </w14:solidFill>
          </w14:textFill>
        </w:rPr>
        <w:t xml:space="preserve">安全检查记录</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、ZJZ/JL 31-4 </w:t>
      </w:r>
      <w:r>
        <w:rPr>
          <w:rFonts w:hint="eastAsia"/>
          <w:color w:val="000000" w:themeColor="text1"/>
          <w14:textFill>
            <w14:solidFill>
              <w14:schemeClr w14:val="tx1"/>
            </w14:solidFill>
          </w14:textFill>
        </w:rPr>
        <w:t xml:space="preserve">设备与计量检查表</w:t>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对检查出的问题实行闭环销项管理，各实验室室主任及岗位人员负责按要求限期整改，安全管理员负责跟踪验证。</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55" w:name="heading_18"/>
      <w:r>
        <w:rPr>
          <w:color w:val="000000" w:themeColor="text1"/>
          <w14:textFill>
            <w14:solidFill>
              <w14:schemeClr w14:val="tx1"/>
            </w14:solidFill>
          </w14:textFill>
        </w:rPr>
        <w:t xml:space="preserve">5. 支持文件</w:t>
      </w:r>
      <w:bookmarkEnd w:id="55"/>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"https://pqsuhhq8yu6.feishu.cn/wiki/P4eWwqbqjiCEaVkmhdWcemUenbh" \h </w:instrText>
      </w:r>
      <w:r>
        <w:fldChar w:fldCharType="separate"/>
      </w:r>
      <w:r>
        <w:rPr>
          <w:color w:val="000000" w:themeColor="text1"/>
          <w14:textFill>
            <w14:solidFill>
              <w14:schemeClr w14:val="tx1"/>
            </w14:solidFill>
          </w14:textFill>
        </w:rPr>
        <w:t xml:space="preserve">中华人民共和国安全生产法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西北油田分公司HSE管理手册</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"https://pqsuhhq8yu6.feishu.cn/wiki/Yd2FwDiq2ieD9gkxsvNcJUWOngf" \h </w:instrText>
      </w:r>
      <w:r>
        <w:fldChar w:fldCharType="separate"/>
      </w:r>
      <w:r>
        <w:rPr>
          <w:color w:val="000000" w:themeColor="text1"/>
          <w14:textFill>
            <w14:solidFill>
              <w14:schemeClr w14:val="tx1"/>
            </w14:solidFill>
          </w14:textFill>
        </w:rPr>
        <w:t xml:space="preserve">中国石化西北石油局有限公司 西北油田分公司实验室HSSE管理实施细则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《GB29639-2013 生产经营单位安全生产事故应急预案编写导则》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《生产安全事故应急预案管理办法（第17号）》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《GB12014 防静电服》</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《GB8965.1防护服装阻燃防护 第1部分 阻燃服》</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《GB14866个人用眼护具技术要求》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《GB/T12624手部防护 通用技术条件及测试方法》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《GB/T17622带电作业用绝缘手套用技术条件》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《GB/T22845防静电手套》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《GB/T18843浸塑手套》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《GB21146个体防护装备职业鞋》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《GB21147个体防护装备防护鞋》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《GB21148个体防护装备安全鞋》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《GB12011足部防护 电绝缘鞋》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《GB/T18664呼吸防护用品的选择、使用与维护》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《GB2890呼吸防护：自吸过滤式防毒面具》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《GB6220呼吸防护 长管呼吸器》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《GB/T16556呼吸防护用品―自吸过滤式防颗粒物呼吸器》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《GB2811安全帽》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"https://pqsuhhq8yu6.feishu.cn/wiki/Ca8kwtd4ziBnlakqsv0c68a6nNd" \h </w:instrText>
      </w:r>
      <w:r>
        <w:fldChar w:fldCharType="separate"/>
      </w:r>
      <w:r>
        <w:rPr>
          <w:color w:val="000000" w:themeColor="text1"/>
          <w14:textFill>
            <w14:solidFill>
              <w14:schemeClr w14:val="tx1"/>
            </w14:solidFill>
          </w14:textFill>
        </w:rPr>
        <w:t xml:space="preserve">ZJZ/CX-3 人员管理与培训程序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"https://pqsuhhq8yu6.feishu.cn/wiki/Oy5WwQTi3i94g4k6SuqcB2uanFc" \h </w:instrText>
      </w:r>
      <w:r>
        <w:fldChar w:fldCharType="separate"/>
      </w:r>
      <w:r>
        <w:rPr>
          <w:color w:val="000000" w:themeColor="text1"/>
          <w14:textFill>
            <w14:solidFill>
              <w14:schemeClr w14:val="tx1"/>
            </w14:solidFill>
          </w14:textFill>
        </w:rPr>
        <w:t xml:space="preserve">ZJZ/CX-31 实验室危险废物管理程序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"https://pqsuhhq8yu6.feishu.cn/wiki/RgAkwcsdkimmtPk4aATcdhICnVg" \h </w:instrText>
      </w:r>
      <w:r>
        <w:fldChar w:fldCharType="separate"/>
      </w:r>
      <w:r>
        <w:rPr>
          <w:color w:val="000000" w:themeColor="text1"/>
          <w14:textFill>
            <w14:solidFill>
              <w14:schemeClr w14:val="tx1"/>
            </w14:solidFill>
          </w14:textFill>
        </w:rPr>
        <w:t xml:space="preserve">ZJZ/CX-32 危险化学品安全管理控制程序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"https://pqsuhhq8yu6.feishu.cn/wiki/CRmlwj47ii6lNLkwyOzc2sNIndh" \h </w:instrText>
      </w:r>
      <w:r>
        <w:fldChar w:fldCharType="separate"/>
      </w:r>
      <w:r>
        <w:rPr>
          <w:color w:val="000000" w:themeColor="text1"/>
          <w14:textFill>
            <w14:solidFill>
              <w14:schemeClr w14:val="tx1"/>
            </w14:solidFill>
          </w14:textFill>
        </w:rPr>
        <w:t xml:space="preserve">ZJZ/CX-33 危险源辨识和风险评价程序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bookmarkStart w:id="56" w:name="heading_19"/>
      <w:r>
        <w:rPr>
          <w:color w:val="000000" w:themeColor="text1"/>
          <w14:textFill>
            <w14:solidFill>
              <w14:schemeClr w14:val="tx1"/>
            </w14:solidFill>
          </w14:textFill>
        </w:rPr>
        <w:t xml:space="preserve">6. 记录</w:t>
      </w:r>
      <w:bookmarkEnd w:id="56"/>
      <w:r/>
      <w:r>
        <w:rPr>
          <w:color w:val="000000" w:themeColor="text1"/>
          <w14:textFill>
            <w14:solidFill>
              <w14:schemeClr w14:val="tx1"/>
            </w14:solidFill>
          </w14:textFill>
        </w:rPr>
      </w:r>
    </w:p>
    <w:p>
      <w:pPr>
        <w:pBdr/>
        <w:spacing/>
        <w:ind/>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ZJZ/JL30</w:t>
      </w:r>
      <w:r>
        <w:rPr>
          <w:rFonts w:hint="eastAsia"/>
          <w:color w:val="000000" w:themeColor="text1"/>
          <w14:textFill>
            <w14:solidFill>
              <w14:schemeClr w14:val="tx1"/>
            </w14:solidFill>
          </w14:textFill>
        </w:rPr>
        <w:t xml:space="preserve">-</w:t>
      </w:r>
      <w:r>
        <w:rPr>
          <w:color w:val="000000" w:themeColor="text1"/>
          <w14:textFill>
            <w14:solidFill>
              <w14:schemeClr w14:val="tx1"/>
            </w14:solidFill>
          </w14:textFill>
        </w:rPr>
        <w:t xml:space="preserve">1</w:t>
      </w:r>
      <w:r>
        <w:rPr>
          <w:rFonts w:hint="eastAsia"/>
          <w:color w:val="000000" w:themeColor="text1"/>
          <w14:textFill>
            <w14:solidFill>
              <w14:schemeClr w14:val="tx1"/>
            </w14:solidFill>
          </w14:textFill>
        </w:rPr>
        <w:t xml:space="preserve">普通溶液/指示剂配制记录表</w:t>
      </w:r>
      <w:r>
        <w:rPr>
          <w:rFonts w:hint="eastAsia"/>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"https://pqsuhhq8yu6.feishu.cn/wiki/SpRiwDMlFizI1HkebNQcx0ZBn1e" \h </w:instrText>
      </w:r>
      <w:r>
        <w:fldChar w:fldCharType="separate"/>
      </w:r>
      <w:r>
        <w:rPr>
          <w:color w:val="000000" w:themeColor="text1"/>
          <w14:textFill>
            <w14:solidFill>
              <w14:schemeClr w14:val="tx1"/>
            </w14:solidFill>
          </w14:textFill>
        </w:rPr>
        <w:t xml:space="preserve">ZJZ/JL 31-3 应急物资台账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"https://pqsuhhq8yu6.feishu.cn/wiki/D7yAwuiEgiwqgnkqrV0ciyQPnUd" \h </w:instrText>
      </w:r>
      <w:r>
        <w:fldChar w:fldCharType="separate"/>
      </w:r>
      <w:r>
        <w:rPr>
          <w:color w:val="000000" w:themeColor="text1"/>
          <w14:textFill>
            <w14:solidFill>
              <w14:schemeClr w14:val="tx1"/>
            </w14:solidFill>
          </w14:textFill>
        </w:rPr>
        <w:t xml:space="preserve">ZJZ/JL 32-1 个人劳保用品发放登记表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w:t xml:space="preserve">ZJZ/JL32-</w:t>
      </w:r>
      <w:r>
        <w:rPr>
          <w:rFonts w:hint="eastAsia"/>
          <w:color w:val="000000" w:themeColor="text1"/>
          <w:lang w:val="en-US" w:eastAsia="zh-CN"/>
          <w14:textFill>
            <w14:solidFill>
              <w14:schemeClr w14:val="tx1"/>
            </w14:solidFill>
          </w14:textFill>
        </w:rPr>
        <w:t xml:space="preserve">2个人劳保防护用品入库登记表</w:t>
      </w:r>
      <w:r>
        <w:rPr>
          <w:rFonts w:hint="eastAsia"/>
          <w:color w:val="000000" w:themeColor="text1"/>
          <w:lang w:val="en-US" w:eastAsia="zh-CN"/>
          <w14:textFill>
            <w14:solidFill>
              <w14:schemeClr w14:val="tx1"/>
            </w14:solidFill>
          </w14:textFill>
        </w:rPr>
      </w:r>
    </w:p>
    <w:p>
      <w:pPr>
        <w:pBdr/>
        <w:spacing/>
        <w:ind/>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w:t xml:space="preserve">ZJZ/JL32-</w:t>
      </w:r>
      <w:r>
        <w:rPr>
          <w:rFonts w:hint="eastAsia"/>
          <w:color w:val="000000" w:themeColor="text1"/>
          <w:lang w:val="en-US" w:eastAsia="zh-CN"/>
          <w14:textFill>
            <w14:solidFill>
              <w14:schemeClr w14:val="tx1"/>
            </w14:solidFill>
          </w14:textFill>
        </w:rPr>
        <w:t xml:space="preserve">3劳保用品报废处置记录表</w:t>
      </w:r>
      <w:r>
        <w:rPr>
          <w:rFonts w:hint="eastAsia"/>
          <w:color w:val="000000" w:themeColor="text1"/>
          <w:lang w:val="en-US" w:eastAsia="zh-CN"/>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"https://pqsuhhq8yu6.feishu.cn/wiki/AgKgwYZrhiMUnYkMLYRcp3UenQc" \h </w:instrText>
      </w:r>
      <w:r>
        <w:fldChar w:fldCharType="separate"/>
      </w:r>
      <w:r>
        <w:rPr>
          <w:color w:val="000000" w:themeColor="text1"/>
          <w14:textFill>
            <w14:solidFill>
              <w14:schemeClr w14:val="tx1"/>
            </w14:solidFill>
          </w14:textFill>
        </w:rPr>
        <w:t xml:space="preserve">ZJZ/JL 36-1 应急准备和响应演练记录表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pPr>
      <w:r>
        <w:rPr>
          <w:rFonts w:hint="eastAsia"/>
        </w:rPr>
        <w:t xml:space="preserve">ZJZ/JL31-1-2新上岗/转岗人员安全培训记录（站级）</w:t>
      </w:r>
      <w:r/>
    </w:p>
    <w:p>
      <w:pPr>
        <w:pBdr/>
        <w:spacing/>
        <w:ind/>
        <w:rPr/>
      </w:pPr>
      <w:r>
        <w:rPr>
          <w:rFonts w:hint="eastAsia"/>
        </w:rPr>
        <w:t xml:space="preserve">ZJZ/JL31-1-3新上岗/转岗人员安全培训记录（班组级）</w:t>
      </w:r>
      <w:r/>
    </w:p>
    <w:p>
      <w:pPr>
        <w:pBdr/>
        <w:spacing/>
        <w:ind/>
        <w:rPr>
          <w:color w:val="000000" w:themeColor="text1"/>
          <w14:textFill>
            <w14:solidFill>
              <w14:schemeClr w14:val="tx1"/>
            </w14:solidFill>
          </w14:textFill>
        </w:rPr>
      </w:pPr>
      <w:r>
        <w:fldChar w:fldCharType="begin"/>
      </w:r>
      <w:r>
        <w:instrText xml:space="preserve"> HYPERLINK "https://pqsuhhq8yu6.feishu.cn/wiki/WNO6wGLYEibRrEkOVlzcEW4anoH" \h </w:instrText>
      </w:r>
      <w:r>
        <w:fldChar w:fldCharType="separate"/>
      </w:r>
      <w:r>
        <w:rPr>
          <w:color w:val="000000" w:themeColor="text1"/>
          <w14:textFill>
            <w14:solidFill>
              <w14:schemeClr w14:val="tx1"/>
            </w14:solidFill>
          </w14:textFill>
        </w:rPr>
        <w:t xml:space="preserve">ZJZ/JL31-2实验室安全检查记录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ZJZ/JL 31-4 </w:t>
      </w:r>
      <w:r>
        <w:rPr>
          <w:rFonts w:hint="eastAsia"/>
          <w:color w:val="000000" w:themeColor="text1"/>
          <w14:textFill>
            <w14:solidFill>
              <w14:schemeClr w14:val="tx1"/>
            </w14:solidFill>
          </w14:textFill>
        </w:rPr>
        <w:t xml:space="preserve">设备与计量检查表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"https://pqsuhhq8yu6.feishu.cn/wiki/JuZMwqx6aiBb2MkrALpc9cVFnjc" \h </w:instrText>
      </w:r>
      <w:r>
        <w:fldChar w:fldCharType="separate"/>
      </w:r>
      <w:r>
        <w:rPr>
          <w:color w:val="000000" w:themeColor="text1"/>
          <w14:textFill>
            <w14:solidFill>
              <w14:schemeClr w14:val="tx1"/>
            </w14:solidFill>
          </w14:textFill>
        </w:rPr>
        <w:t xml:space="preserve">ZJZ/JL 31-1 质量检测站岗位风险识别清单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57" w:name="_Toc4699"/>
      <w:r>
        <w:rPr>
          <w:color w:val="000000" w:themeColor="text1"/>
          <w14:textFill>
            <w14:solidFill>
              <w14:schemeClr w14:val="tx1"/>
            </w14:solidFill>
          </w14:textFill>
        </w:rPr>
        <w:t xml:space="preserve">ZJZ/CX-31 风险辨识和评价程序</w:t>
      </w:r>
      <w:bookmarkEnd w:id="57"/>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对质量检测站检验检测活动中的危险源进行辨识、评价、确定、更新，对其实施动态管理、有效控制。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适用于本站所有实验人员、设备、材料、检测方法、场所等风险的辨识和评价。</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站长：负责</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危险源与风险评价控制措施清单</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的审批，及对控制措施实施情况的监督检查。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实验室室主任：负责组织实验室危险源的辨识、风险评价和控制措施的确定、以及控制措施的实施。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安全员：负责质量检测站风险识别清单的汇总，负责对控制措施实施情况的监督检查。</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实验室由于易燃、易爆、有毒、有害物品多，检测设备较为集中，工作环境相对封闭，需要科学的进行危险源辨识和风险评价，主要采用《中国石化安全风险矩阵》评价方法。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中国石化安全风险矩阵</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"https://pqsuhhq8yu6.feishu.cn/wiki/UNDSwJVRVioEgjkpERfcajgln4c" \h </w:instrText>
      </w:r>
      <w:r>
        <w:fldChar w:fldCharType="separate"/>
      </w:r>
      <w:r>
        <w:rPr>
          <w:color w:val="000000" w:themeColor="text1"/>
          <w14:textFill>
            <w14:solidFill>
              <w14:schemeClr w14:val="tx1"/>
            </w14:solidFill>
          </w14:textFill>
        </w:rPr>
        <w:t xml:space="preserve">中国石化安全风险矩阵</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是安全风险等级量化工具，体现了中国石化容忍安全风险准则和可接受安全风险准则。在企业生产经营活动中，相关安全风险应统一采用中国石化安全风险矩阵评估初始风险等级（Raw Risk）和剩余风险（Residual Risk）等级，决定是否需要采取措施降低风险。</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安全风险矩阵见下图：</w: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5257800" cy="2876550"/>
                <wp:effectExtent l="0" t="0" r="0" b="0"/>
                <wp:docPr id="17"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0"/>
                        <pic:cNvPicPr>
                          <a:picLocks noChangeAspect="1"/>
                        </pic:cNvPicPr>
                        <pic:nvPr/>
                      </pic:nvPicPr>
                      <pic:blipFill>
                        <a:blip r:embed="rId32"/>
                        <a:stretch/>
                      </pic:blipFill>
                      <pic:spPr bwMode="auto">
                        <a:xfrm>
                          <a:off x="0" y="0"/>
                          <a:ext cx="5257800" cy="2876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14.00pt;height:226.50pt;mso-wrap-distance-left:0.00pt;mso-wrap-distance-top:0.00pt;mso-wrap-distance-right:0.00pt;mso-wrap-distance-bottom:0.00pt;z-index:1;" stroked="false">
                <v:imagedata r:id="rId32" o:title=""/>
                <o:lock v:ext="edit" rotation="t"/>
              </v:shape>
            </w:pict>
          </mc:Fallback>
        </mc:AlternateConten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w:t xml:space="preserve">安全风险矩阵图</w:t>
      </w:r>
      <w:r>
        <w:rPr>
          <w:color w:val="000000" w:themeColor="text1"/>
          <w14:textFill>
            <w14:solidFill>
              <w14:schemeClr w14:val="tx1"/>
            </w14:solidFill>
          </w14:textFill>
        </w:rPr>
        <w:b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伤害后果需要考虑健康与安全影响、财产损失影响、非财务与社会影响三类，按严重性从轻微到特别重大分为7个等级，依次A、B、C、D、E、F和G，后果严重性等级分类详见下表。其中重伤标准执行原劳动部《关于重伤事故范围的意见》[60]中劳护久字第56号）；事故直接经济损失按《中国石化安全事故管理规定》的相关规定执行。</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4140"/>
        <w:gridCol w:w="4140"/>
      </w:tblGrid>
      <w:tr>
        <w:trPr/>
        <w:tc>
          <w:tcPr>
            <w:tcBorders/>
            <w:tcMar>
              <w:left w:w="120" w:type="dxa"/>
              <w:top w:w="60" w:type="dxa"/>
              <w:right w:w="120" w:type="dxa"/>
              <w:bottom w:w="30" w:type="dxa"/>
            </w:tcMar>
            <w:tcW w:w="414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2476500" cy="3009900"/>
                      <wp:effectExtent l="0" t="0" r="0" b="0"/>
                      <wp:docPr id="18"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
                              <pic:cNvPicPr>
                                <a:picLocks noChangeAspect="1"/>
                              </pic:cNvPicPr>
                              <pic:nvPr/>
                            </pic:nvPicPr>
                            <pic:blipFill>
                              <a:blip r:embed="rId33"/>
                              <a:stretch/>
                            </pic:blipFill>
                            <pic:spPr bwMode="auto">
                              <a:xfrm>
                                <a:off x="0" y="0"/>
                                <a:ext cx="2476500" cy="3009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95.00pt;height:237.00pt;mso-wrap-distance-left:0.00pt;mso-wrap-distance-top:0.00pt;mso-wrap-distance-right:0.00pt;mso-wrap-distance-bottom:0.00pt;z-index:1;" stroked="false">
                      <v:imagedata r:id="rId33" o:title=""/>
                      <o:lock v:ext="edit" rotation="t"/>
                    </v:shape>
                  </w:pict>
                </mc:Fallback>
              </mc:AlternateConten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后果严重性分级表（1）</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4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2476500" cy="3105150"/>
                      <wp:effectExtent l="0" t="0" r="0" b="0"/>
                      <wp:docPr id="19"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2"/>
                              <pic:cNvPicPr>
                                <a:picLocks noChangeAspect="1"/>
                              </pic:cNvPicPr>
                              <pic:nvPr/>
                            </pic:nvPicPr>
                            <pic:blipFill>
                              <a:blip r:embed="rId34"/>
                              <a:stretch/>
                            </pic:blipFill>
                            <pic:spPr bwMode="auto">
                              <a:xfrm>
                                <a:off x="0" y="0"/>
                                <a:ext cx="2476500" cy="31051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5.00pt;height:244.50pt;mso-wrap-distance-left:0.00pt;mso-wrap-distance-top:0.00pt;mso-wrap-distance-right:0.00pt;mso-wrap-distance-bottom:0.00pt;z-index:1;" stroked="false">
                      <v:imagedata r:id="rId34" o:title=""/>
                      <o:lock v:ext="edit" rotation="t"/>
                    </v:shape>
                  </w:pict>
                </mc:Fallback>
              </mc:AlternateConten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后果严重性分级表（2）</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伤害后果发生的可能性从低到高分为8个等级，依次为1,2,3,4,5,6,7和8，可能性分级详见安全风险矩阵图。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风险矩阵中每一个具体数字代表该风险的风险指数值RI(Risk Index)，非绝对风险值，最小为1，最大为200。风险指数值表征了每一个风险等级的相对大小。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对于某风险的具体风险等级，应取三种后果中最高的风险等级，采用后果严重性等级的代表字母和可能性等级数字组合表示。例如：当后果等级为A，可能性等级为7时，其对应的风险等级为A7。</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4.1.6 风险级别分为重大风险（红色）、较大风险（橙色）、一般风险（黄色）和低风险（蓝色）4个级别。</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4.1.7 容忍风险（Tolerable Risk）是ALARP（最低合理可行）区域的上限值，当超过该值时，风险属于不可容忍风险。在中国石化风险矩阵中，人员伤害的容忍风险：界区内人员（主要指在厂界内工作的人员，包括内部员工、承包商员工等）年度累计死亡风险应小于等于10-3/年。界区外人员（主要指厂界外的社会人员）年度累计死亡风险应小于等于10-4/年。当风险处于容忍风险区域时，应采用ALARP原则确定风险是否可以接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4.1.8 可接受风险（Acceptable Risk）是ALARP区域的下限值，小于等于该值时，风险属于广泛可接受的风险。在中国石化风险矩阵中，人员伤害的可接受风险: 界区内人员年度累计死亡风险应小于等于10-5/年。界区外人员（主要指厂界外的社会人员）年度累计死亡风险应小于等于10-6/年。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风险识别与评估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站长组织各室对各岗位进行危险源识别，并采取恰当措施进行应急控制，并形成</w:t>
      </w:r>
      <w:r>
        <w:fldChar w:fldCharType="begin"/>
      </w:r>
      <w:r>
        <w:instrText xml:space="preserve"> HYPERLINK "https://pqsuhhq8yu6.feishu.cn/wiki/JuZMwqx6aiBb2MkrALpc9cVFnjc" \h </w:instrText>
      </w:r>
      <w:r>
        <w:fldChar w:fldCharType="separate"/>
      </w:r>
      <w:r>
        <w:rPr>
          <w:color w:val="000000" w:themeColor="text1"/>
          <w14:textFill>
            <w14:solidFill>
              <w14:schemeClr w14:val="tx1"/>
            </w14:solidFill>
          </w14:textFill>
        </w:rPr>
        <w:t xml:space="preserve">ZJZ/JL35-1安全风险识别及评估清单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，经站长审核，上报生产运行室备案，对于评价结果中度以上风险要采取相应整改措施，风险评价汇总表每六个月更新一次。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风险控制措施制定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对于风险评价结果超标，需要整改时，按照以下优先顺序，采取相应的措施：</w:t>
      </w:r>
      <w:r>
        <w:rPr>
          <w:color w:val="000000" w:themeColor="text1"/>
          <w14:textFill>
            <w14:solidFill>
              <w14:schemeClr w14:val="tx1"/>
            </w14:solidFill>
          </w14:textFill>
        </w:rPr>
      </w:r>
    </w:p>
    <w:p>
      <w:pPr>
        <w:pStyle w:val="1996"/>
        <w:numPr>
          <w:ilvl w:val="0"/>
          <w:numId w:val="554"/>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消除来自实验室的危险源。</w:t>
      </w:r>
      <w:r>
        <w:rPr>
          <w:color w:val="000000" w:themeColor="text1"/>
          <w14:textFill>
            <w14:solidFill>
              <w14:schemeClr w14:val="tx1"/>
            </w14:solidFill>
          </w14:textFill>
        </w:rPr>
      </w:r>
    </w:p>
    <w:p>
      <w:pPr>
        <w:pStyle w:val="1996"/>
        <w:numPr>
          <w:ilvl w:val="0"/>
          <w:numId w:val="555"/>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采用替代物或替代方法来减少风险。</w:t>
      </w:r>
      <w:r>
        <w:rPr>
          <w:color w:val="000000" w:themeColor="text1"/>
          <w14:textFill>
            <w14:solidFill>
              <w14:schemeClr w14:val="tx1"/>
            </w14:solidFill>
          </w14:textFill>
        </w:rPr>
      </w:r>
    </w:p>
    <w:p>
      <w:pPr>
        <w:pStyle w:val="1996"/>
        <w:numPr>
          <w:ilvl w:val="0"/>
          <w:numId w:val="556"/>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隔离危险源来控制风险。</w:t>
      </w:r>
      <w:r>
        <w:rPr>
          <w:color w:val="000000" w:themeColor="text1"/>
          <w14:textFill>
            <w14:solidFill>
              <w14:schemeClr w14:val="tx1"/>
            </w14:solidFill>
          </w14:textFill>
        </w:rPr>
      </w:r>
    </w:p>
    <w:p>
      <w:pPr>
        <w:pStyle w:val="1996"/>
        <w:numPr>
          <w:ilvl w:val="0"/>
          <w:numId w:val="557"/>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应用工程控制抑制或减少接触，局部排风通风。</w:t>
      </w:r>
      <w:r>
        <w:rPr>
          <w:color w:val="000000" w:themeColor="text1"/>
          <w14:textFill>
            <w14:solidFill>
              <w14:schemeClr w14:val="tx1"/>
            </w14:solidFill>
          </w14:textFill>
        </w:rPr>
      </w:r>
    </w:p>
    <w:p>
      <w:pPr>
        <w:pStyle w:val="1996"/>
        <w:numPr>
          <w:ilvl w:val="0"/>
          <w:numId w:val="558"/>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管理控制：采用安全工作行为最小化接触。</w:t>
      </w:r>
      <w:r>
        <w:rPr>
          <w:color w:val="000000" w:themeColor="text1"/>
          <w14:textFill>
            <w14:solidFill>
              <w14:schemeClr w14:val="tx1"/>
            </w14:solidFill>
          </w14:textFill>
        </w:rPr>
      </w:r>
    </w:p>
    <w:p>
      <w:pPr>
        <w:pStyle w:val="1996"/>
        <w:numPr>
          <w:ilvl w:val="0"/>
          <w:numId w:val="559"/>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在采用其他有效控制危险源的方法不可行时，使用合适个体防护装备。</w:t>
      </w:r>
      <w:r>
        <w:rPr>
          <w:color w:val="000000" w:themeColor="text1"/>
          <w14:textFill>
            <w14:solidFill>
              <w14:schemeClr w14:val="tx1"/>
            </w14:solidFill>
          </w14:textFill>
        </w:rPr>
      </w:r>
    </w:p>
    <w:p>
      <w:pPr>
        <w:pStyle w:val="1996"/>
        <w:numPr>
          <w:ilvl w:val="0"/>
          <w:numId w:val="560"/>
        </w:num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以上措施仍无法将风险降到到可接受的水平，应停止工作。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风险的复查和重新评审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质量检测站应每年对已识别的风险进行复查评审。</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采用新的设备、材料、方法、环境、人员发生较大变化，或改变实验室结构的功能时，对实验室构成较大风险时，应重新进行风险评价。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包括物质存储或使用的实验室分区执行的任务发生改变之前，应重新进行风险评价。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4.4.4 变更检验工作流程时，应重新进行风险评价。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4.4.5 发生安全事故或事件后，应重新进行风险评价。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4.4.6 适用的法律法规和标准等发生改变，应重新进行风险评价。</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"https://pqsuhhq8yu6.feishu.cn/wiki/UNDSwJVRVioEgjkpERfcajgln4c" \h </w:instrText>
      </w:r>
      <w:r>
        <w:fldChar w:fldCharType="separate"/>
      </w:r>
      <w:r>
        <w:rPr>
          <w:color w:val="000000" w:themeColor="text1"/>
          <w14:textFill>
            <w14:solidFill>
              <w14:schemeClr w14:val="tx1"/>
            </w14:solidFill>
          </w14:textFill>
        </w:rPr>
        <w:t xml:space="preserve">中国石化安全风险矩阵</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相关记录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"https://pqsuhhq8yu6.feishu.cn/wiki/JuZMwqx6aiBb2MkrALpc9cVFnjc" \h </w:instrText>
      </w:r>
      <w:r>
        <w:fldChar w:fldCharType="separate"/>
      </w:r>
      <w:r>
        <w:rPr>
          <w:color w:val="000000" w:themeColor="text1"/>
          <w14:textFill>
            <w14:solidFill>
              <w14:schemeClr w14:val="tx1"/>
            </w14:solidFill>
          </w14:textFill>
        </w:rPr>
        <w:t xml:space="preserve">ZJZ/JL35-1安全风险识别及评估清单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58" w:name="_Toc3903"/>
      <w:r>
        <w:rPr>
          <w:color w:val="000000" w:themeColor="text1"/>
          <w14:textFill>
            <w14:solidFill>
              <w14:schemeClr w14:val="tx1"/>
            </w14:solidFill>
          </w14:textFill>
        </w:rPr>
        <w:t xml:space="preserve">ZJZ/CX-32 危险化学品管理程序</w:t>
      </w:r>
      <w:bookmarkEnd w:id="58"/>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为了规范危险化学品的管理，加强危险化学品出入库的有效监控和精确管理，保证危险化学品储存和使用安全，识别危险化学品对检测人员或相关人员产生危害，并控制这些危险因素，特制定本程序。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适用于危险化学品的存储、使用、标识标签、监督检查等管理。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站长：危险化学品管理第一责任人。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技术总监/副站长：根据职责分工，负责全站危险化学品管理主要责任。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实验室室主任：负责本实验室危险化学品的管理责任。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材料管理员：负责危险化学品库房的安全管理工作。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检验检测人员：负责实验室危险化学品的使用和保管工作。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3.6 安全员：负责危险化学品的保存、使用过程的监督管理。</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w:t>
      </w:r>
      <w:r>
        <w:rPr>
          <w:b/>
          <w:color w:val="000000" w:themeColor="text1"/>
          <w14:textFill>
            <w14:solidFill>
              <w14:schemeClr w14:val="tx1"/>
            </w14:solidFill>
          </w14:textFill>
        </w:rPr>
        <w:t xml:space="preserve">基本要求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站长组织安全管理员按照国家法律法规要求建立实验室危险化学品管理制度，包括《质量检测站危险化学品管理办法》、《质量检测站危险化学品仓库管理人员的职责》、《危险化学品使用人员职责》和《质量检测站危险化学品单位负责人职责》等，不断完善管理制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站长组织库房管理员根据危险化学品名录、易制毒化学品名录、易制爆化学品名录建立质量检测站危险化学品及易制毒、易制爆化学品清单，并建立危险化学品化学反应矩阵、危险化学品安全技术说明书。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4.1.3 质量检测站根据法律法规要求，配备易制毒、易制爆化学品及其他危险化学品的存储条件。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4.1.4 危化品库房实行双人双锁管理，进入危险化学品库房，应填写</w:t>
      </w:r>
      <w:r>
        <w:fldChar w:fldCharType="begin"/>
      </w:r>
      <w:r>
        <w:instrText xml:space="preserve"> HYPERLINK "https://pqsuhhq8yu6.feishu.cn/wiki/KYGcwufWCidDPlkqAWuco8uenwd" \h </w:instrText>
      </w:r>
      <w:r>
        <w:fldChar w:fldCharType="separate"/>
      </w:r>
      <w:r>
        <w:rPr>
          <w:color w:val="000000" w:themeColor="text1"/>
          <w14:textFill>
            <w14:solidFill>
              <w14:schemeClr w14:val="tx1"/>
            </w14:solidFill>
          </w14:textFill>
        </w:rPr>
        <w:t xml:space="preserve">ZJZ/JL34-1 进入仓库人员登记表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4.1.5 易制毒、易制爆化学品按法律法规和所在地区公安机关要求办理网上平台的注册、采购报批和使用。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危险化学品存储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危险化学品存储应按化学品类别分类存储，危险化学品分类可参考《危险化学品名录》。同时危险化学存储要求执行《GB15603 常用化学危险品贮存通则》 要求，剧毒化学品、易制毒化学品、易制爆化学品等危险化学品存储要求执行《GA 1911-2018 易制爆危险化学品储存场所治安防范要求》。</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8280"/>
      </w:tblGrid>
      <w:tr>
        <w:trPr/>
        <w:tc>
          <w:tcPr>
            <w:shd w:val="clear" w:color="auto" w:fill="fff5eb"/>
            <w:tcBorders/>
            <w:tcMar>
              <w:left w:w="120" w:type="dxa"/>
              <w:top w:w="60" w:type="dxa"/>
              <w:right w:w="120" w:type="dxa"/>
              <w:bottom w:w="30" w:type="dxa"/>
            </w:tcMar>
            <w:tcW w:w="828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依据《GB15603 常用危险化学品储存通则》，化学品分为下面八类，其存储注意事项包括：</w:t>
            </w:r>
            <w:r>
              <w:rPr>
                <w:rFonts w:hint="default"/>
                <w:color w:val="000000" w:themeColor="text1"/>
                <w14:textFill>
                  <w14:solidFill>
                    <w14:schemeClr w14:val="tx1"/>
                  </w14:solidFill>
                </w14:textFill>
              </w:rPr>
            </w:r>
          </w:p>
          <w:p>
            <w:pPr>
              <w:pStyle w:val="1996"/>
              <w:keepNext w:val="false"/>
              <w:keepLines w:val="false"/>
              <w:numPr>
                <w:ilvl w:val="0"/>
                <w:numId w:val="561"/>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A.  爆炸品：装瓶单独存放在安全处。使用时要避免摩擦、震动、撞击、接触火源。</w:t>
            </w:r>
            <w:r>
              <w:rPr>
                <w:rFonts w:hint="default"/>
                <w:color w:val="000000" w:themeColor="text1"/>
                <w14:textFill>
                  <w14:solidFill>
                    <w14:schemeClr w14:val="tx1"/>
                  </w14:solidFill>
                </w14:textFill>
              </w:rPr>
            </w:r>
          </w:p>
          <w:p>
            <w:pPr>
              <w:pStyle w:val="1996"/>
              <w:keepNext w:val="false"/>
              <w:keepLines w:val="false"/>
              <w:numPr>
                <w:ilvl w:val="0"/>
                <w:numId w:val="562"/>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B．压缩气体和液化气体：要小心，避免震动，碰撞，严禁曝晒，加温。</w:t>
            </w:r>
            <w:r>
              <w:rPr>
                <w:rFonts w:hint="default"/>
                <w:color w:val="000000" w:themeColor="text1"/>
                <w14:textFill>
                  <w14:solidFill>
                    <w14:schemeClr w14:val="tx1"/>
                  </w14:solidFill>
                </w14:textFill>
              </w:rPr>
            </w:r>
          </w:p>
          <w:p>
            <w:pPr>
              <w:pStyle w:val="1996"/>
              <w:keepNext w:val="false"/>
              <w:keepLines w:val="false"/>
              <w:numPr>
                <w:ilvl w:val="0"/>
                <w:numId w:val="563"/>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C．易燃液体：要密封（如盖紧瓶塞）防止倾倒和外溢，存放在阴凉通风的专用柜中，要远离火种（包括易产生火花的器物）和氧化剂。</w:t>
            </w:r>
            <w:r>
              <w:rPr>
                <w:rFonts w:hint="default"/>
                <w:color w:val="000000" w:themeColor="text1"/>
                <w14:textFill>
                  <w14:solidFill>
                    <w14:schemeClr w14:val="tx1"/>
                  </w14:solidFill>
                </w14:textFill>
              </w:rPr>
            </w:r>
          </w:p>
          <w:p>
            <w:pPr>
              <w:pStyle w:val="1996"/>
              <w:keepNext w:val="false"/>
              <w:keepLines w:val="false"/>
              <w:numPr>
                <w:ilvl w:val="0"/>
                <w:numId w:val="564"/>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D．易燃固体、自燃物品和遇湿易燃物品：易燃固体要跟氧化剂分开存放在阴凉处，远离火种；自燃品放在盛水的瓶中，加塞，保存在阴凉处，使用时注意不要与皮肤接触，防止体温引起其自燃而造成难以愈合烧伤。遇水燃烧物放在坚固的密封容器中，存放于阴凉干燥处。少量钾、钠放在盛煤油的瓶中，使钠、钾全部浸没在煤油中，加塞存放。</w:t>
            </w:r>
            <w:r>
              <w:rPr>
                <w:rFonts w:hint="default"/>
                <w:color w:val="000000" w:themeColor="text1"/>
                <w14:textFill>
                  <w14:solidFill>
                    <w14:schemeClr w14:val="tx1"/>
                  </w14:solidFill>
                </w14:textFill>
              </w:rPr>
            </w:r>
          </w:p>
          <w:p>
            <w:pPr>
              <w:pStyle w:val="1996"/>
              <w:keepNext w:val="false"/>
              <w:keepLines w:val="false"/>
              <w:numPr>
                <w:ilvl w:val="0"/>
                <w:numId w:val="565"/>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E．氧化剂和有机过氧化物：与酸类、易燃物、还原剂分开，存放于阴凉通风处。使用时注意其中切勿混入木屑、碳粉、金属粉、硫、硫化物、磷、油脂、塑料等易燃物。</w:t>
            </w:r>
            <w:r>
              <w:rPr>
                <w:rFonts w:hint="default"/>
                <w:color w:val="000000" w:themeColor="text1"/>
                <w14:textFill>
                  <w14:solidFill>
                    <w14:schemeClr w14:val="tx1"/>
                  </w14:solidFill>
                </w14:textFill>
              </w:rPr>
            </w:r>
          </w:p>
          <w:p>
            <w:pPr>
              <w:pStyle w:val="1996"/>
              <w:keepNext w:val="false"/>
              <w:keepLines w:val="false"/>
              <w:numPr>
                <w:ilvl w:val="0"/>
                <w:numId w:val="566"/>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F．毒害品：剧毒品必须锁在固定的铁橱中，一般毒品也要妥善保管。使用时严禁摄入和接触身体。</w:t>
            </w:r>
            <w:r>
              <w:rPr>
                <w:rFonts w:hint="default"/>
                <w:color w:val="000000" w:themeColor="text1"/>
                <w14:textFill>
                  <w14:solidFill>
                    <w14:schemeClr w14:val="tx1"/>
                  </w14:solidFill>
                </w14:textFill>
              </w:rPr>
            </w:r>
          </w:p>
          <w:p>
            <w:pPr>
              <w:pStyle w:val="1996"/>
              <w:keepNext w:val="false"/>
              <w:keepLines w:val="false"/>
              <w:numPr>
                <w:ilvl w:val="0"/>
                <w:numId w:val="567"/>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G．放射性物品：要有专用容器，且保管和存储要穿戴好防护服。</w:t>
            </w:r>
            <w:r>
              <w:rPr>
                <w:rFonts w:hint="default"/>
                <w:color w:val="000000" w:themeColor="text1"/>
                <w14:textFill>
                  <w14:solidFill>
                    <w14:schemeClr w14:val="tx1"/>
                  </w14:solidFill>
                </w14:textFill>
              </w:rPr>
            </w:r>
          </w:p>
          <w:p>
            <w:pPr>
              <w:pStyle w:val="1996"/>
              <w:keepNext w:val="false"/>
              <w:keepLines w:val="false"/>
              <w:numPr>
                <w:ilvl w:val="0"/>
                <w:numId w:val="568"/>
              </w:numPr>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H．腐蚀品：盛于带盖（塞）得玻璃或塑料容器中，存放在低温阴凉处，使用时勿接触衣物、皮肤，严禁溅入眼睛中造成失明。</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危险化学品应存储于化学试剂（样品）间专用储存柜内，保证通风良好。化学试剂间和化学试剂储存柜不允许存放其它杂物，实验通风柜内不允许存放化学试剂及杂物。</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气瓶间门应向疏散方向开启且采用平开门，具有良好的通风条件，保持阴凉、干燥。气瓶存储应按照GB 16163 要求对气瓶进行分类，并分区存放。同一气瓶间不得同时存放氧化性和还原性气体。</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易燃、助燃气体或有毒气体气瓶间应单独设置房间或有效隔离，气瓶应距明火热源10米以上（不能达到时，应有可靠的隔离防护措施）。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气瓶间的一般大型气瓶（40L以上）应设有直立稳固的气瓶柜或防倒链等气瓶防倾倒设施。</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气体管道检漏合格后方可投入使用，并定期进行检查。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实验室应控制危险化学品存放总量，除压缩气体、液化气体、剧毒化学品和爆炸品以外的危险化学品总量不超过100L（kg），其中易燃易爆性危险化学品总量不超过50L（kg）且单一包装不超过25L（kg）。实验台化学试剂架上只暂放当天用量，用完后应放回储存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4.2.8 实验室内的其他气体（除易燃、助燃气体或有毒气体）气瓶应控制在最小需求量。备用气瓶、空瓶不应存放在实验室内。</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4.2.9 危险化学品到货后，危险化学品库房管理员组织使用人员进行验收，库房管理员负责核查规格、数量、生产批号、外包装，开展形式验收并填写ZJZ/JL 13-2 </w:t>
      </w:r>
      <w:r>
        <w:rPr>
          <w:rFonts w:hint="eastAsia"/>
          <w:color w:val="000000" w:themeColor="text1"/>
          <w14:textFill>
            <w14:solidFill>
              <w14:schemeClr w14:val="tx1"/>
            </w14:solidFill>
          </w14:textFill>
        </w:rPr>
        <w:t xml:space="preserve">材料物品到货验收单</w:t>
      </w:r>
      <w:r>
        <w:rPr>
          <w:color w:val="000000" w:themeColor="text1"/>
          <w14:textFill>
            <w14:solidFill>
              <w14:schemeClr w14:val="tx1"/>
            </w14:solidFill>
          </w14:textFill>
        </w:rPr>
        <w:t xml:space="preserve">，根据</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ZJZ/JL XX-X 关键试剂质量验收明细表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通知岗位人员开展质量验收，填写</w:t>
      </w:r>
      <w:r>
        <w:fldChar w:fldCharType="begin"/>
      </w:r>
      <w:r>
        <w:instrText xml:space="preserve"> HYPERLINK "https://pqsuhhq8yu6.feishu.cn/wiki/YBdswYPpWiMZJRkxbHpczYLAnvn" \h </w:instrText>
      </w:r>
      <w:r>
        <w:fldChar w:fldCharType="separate"/>
      </w:r>
      <w:r>
        <w:rPr>
          <w:color w:val="000000" w:themeColor="text1"/>
          <w14:textFill>
            <w14:solidFill>
              <w14:schemeClr w14:val="tx1"/>
            </w14:solidFill>
          </w14:textFill>
        </w:rPr>
        <w:t xml:space="preserve">ZJZ/JL 13-8 实验材料质量验收单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，验收合格后入库，填写</w:t>
      </w:r>
      <w:r>
        <w:fldChar w:fldCharType="begin"/>
      </w:r>
      <w:r>
        <w:instrText xml:space="preserve"> HYPERLINK "https://pqsuhhq8yu6.feishu.cn/wiki/UR3AwgEmMitS4Fkf2P5cSZZOnPf" \h </w:instrText>
      </w:r>
      <w:r>
        <w:fldChar w:fldCharType="separate"/>
      </w:r>
      <w:r>
        <w:rPr>
          <w:color w:val="000000" w:themeColor="text1"/>
          <w14:textFill>
            <w14:solidFill>
              <w14:schemeClr w14:val="tx1"/>
            </w14:solidFill>
          </w14:textFill>
        </w:rPr>
        <w:t xml:space="preserve">ZJZ/JL 34-2 危险化学品入库登记表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。库房管理员应根据出入库情况动态更新</w:t>
      </w:r>
      <w:r>
        <w:fldChar w:fldCharType="begin"/>
      </w:r>
      <w:r>
        <w:instrText xml:space="preserve"> HYPERLINK "https://pqsuhhq8yu6.feishu.cn/wiki/JfqIwpGHCiDIIlkt7KncVZI5n7b" \h </w:instrText>
      </w:r>
      <w:r>
        <w:fldChar w:fldCharType="separate"/>
      </w:r>
      <w:r>
        <w:rPr>
          <w:color w:val="000000" w:themeColor="text1"/>
          <w14:textFill>
            <w14:solidFill>
              <w14:schemeClr w14:val="tx1"/>
            </w14:solidFill>
          </w14:textFill>
        </w:rPr>
        <w:t xml:space="preserve">ZJZ/JL 34-9 危险化学品台账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4.2.10 压缩钢瓶气体到货后，由库管人员组织对气瓶进行检查验收，重点检测气瓶的压力、安全附件、钢瓶和字体颜色等，填写</w:t>
      </w:r>
      <w:r>
        <w:fldChar w:fldCharType="begin"/>
      </w:r>
      <w:r>
        <w:instrText xml:space="preserve"> HYPERLINK "https://pqsuhhq8yu6.feishu.cn/wiki/PPr1w65xGiqfoWkxPgqcpiDkneb" \h </w:instrText>
      </w:r>
      <w:r>
        <w:fldChar w:fldCharType="separate"/>
      </w:r>
      <w:r>
        <w:rPr>
          <w:color w:val="000000" w:themeColor="text1"/>
          <w14:textFill>
            <w14:solidFill>
              <w14:schemeClr w14:val="tx1"/>
            </w14:solidFill>
          </w14:textFill>
        </w:rPr>
        <w:t xml:space="preserve">ZJZ/JL34-7气瓶验收检查表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，同时更新</w:t>
      </w:r>
      <w:r>
        <w:fldChar w:fldCharType="begin"/>
      </w:r>
      <w:r>
        <w:instrText xml:space="preserve"> HYPERLINK "https://pqsuhhq8yu6.feishu.cn/wiki/GGbWwHHM3ikPj6kXLzQcQvUMnOf" \h </w:instrText>
      </w:r>
      <w:r>
        <w:fldChar w:fldCharType="separate"/>
      </w:r>
      <w:r>
        <w:rPr>
          <w:color w:val="000000" w:themeColor="text1"/>
          <w14:textFill>
            <w14:solidFill>
              <w14:schemeClr w14:val="tx1"/>
            </w14:solidFill>
          </w14:textFill>
        </w:rPr>
        <w:t xml:space="preserve">ZJZ/JL34-14气瓶管理台账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危险化学品的领取、使用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易制毒、易制爆危险化学品的领取和使用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（1）由检验检测人员提出易制毒、易制爆危险化学品申请，填写ZJZ/JL34-13易制爆、易制毒化学试剂领用申请表，经班组长审核，安全员审批后，由库房管理员根据审批量发放。易制毒、易制爆危险化学品按照</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按量取用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原则，领取时执行</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双人领取（检验检测人员、班组长）、双人发放（库房管理员、安全员）</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，填写</w:t>
      </w:r>
      <w:r>
        <w:fldChar w:fldCharType="begin"/>
      </w:r>
      <w:r>
        <w:instrText xml:space="preserve"> HYPERLINK "https://pqsuhhq8yu6.feishu.cn/wiki/PjeVwtKVKipWBFkVRCTcJlgVnIb" \h </w:instrText>
      </w:r>
      <w:r>
        <w:fldChar w:fldCharType="separate"/>
      </w:r>
      <w:r>
        <w:rPr>
          <w:color w:val="000000" w:themeColor="text1"/>
          <w14:textFill>
            <w14:solidFill>
              <w14:schemeClr w14:val="tx1"/>
            </w14:solidFill>
          </w14:textFill>
        </w:rPr>
        <w:t xml:space="preserve">ZJZ/JL 32-10 易制毒、易制爆危险化学品领用记录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。进出易制毒、易制爆危险化学品库房，应填写</w:t>
      </w:r>
      <w:r>
        <w:fldChar w:fldCharType="begin"/>
      </w:r>
      <w:r>
        <w:instrText xml:space="preserve"> HYPERLINK "https://pqsuhhq8yu6.feishu.cn/wiki/KYGcwufWCidDPlkqAWuco8uenwd" \h </w:instrText>
      </w:r>
      <w:r>
        <w:fldChar w:fldCharType="separate"/>
      </w:r>
      <w:r>
        <w:rPr>
          <w:color w:val="000000" w:themeColor="text1"/>
          <w14:textFill>
            <w14:solidFill>
              <w14:schemeClr w14:val="tx1"/>
            </w14:solidFill>
          </w14:textFill>
        </w:rPr>
        <w:t xml:space="preserve">ZJZ/JL34-1 进入仓库人员登记表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（2）领取后，执行</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双人使用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，检验检测人员在班组长的监视情况下使用易制毒、易制爆危险化学品，并填写</w:t>
      </w:r>
      <w:r>
        <w:fldChar w:fldCharType="begin"/>
      </w:r>
      <w:r>
        <w:instrText xml:space="preserve"> HYPERLINK "https://pqsuhhq8yu6.feishu.cn/wiki/SVhbwto1iiy5z7klGGecDtulngg" \h </w:instrText>
      </w:r>
      <w:r>
        <w:fldChar w:fldCharType="separate"/>
      </w:r>
      <w:r>
        <w:rPr>
          <w:color w:val="000000" w:themeColor="text1"/>
          <w14:textFill>
            <w14:solidFill>
              <w14:schemeClr w14:val="tx1"/>
            </w14:solidFill>
          </w14:textFill>
        </w:rPr>
        <w:t xml:space="preserve">ZJZ/JL34-11岗位易制毒、易制爆危险化学品使用记录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。如使用需求发生变更，产生结余的易制毒、易制爆危险化学品，应及时交库房管理员入库，并做好入库登记。</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（3）易制毒、易制爆危险化学品申请、购买、储存、使用等过程在新疆危爆物品治安管理平台、易制毒化学品管控平台中实施和更新，库房管理员将易制毒、易制爆危险化学品的出入库在对应平台中记录。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其他危险化学品的领取、使用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其他危险化学品由检验检测人员在实验分析系统中提出申请，申请量为预估量（预估量可按照密度为1.0g/cm3进行质量和体积折算），经班组长审核，综合管理室经理审批后，由库房管理员发放。发放量以实际重量为准，在实验分析系统中记录出库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（2）危险化学品执行</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按量取用、双人领取、双人发放</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原则，领用人员（检验检测人员、班组长）和发放人员（库房管理员）在</w:t>
      </w:r>
      <w:r>
        <w:fldChar w:fldCharType="begin"/>
      </w:r>
      <w:r>
        <w:instrText xml:space="preserve"> HYPERLINK "https://pqsuhhq8yu6.feishu.cn/wiki/V2gqwdRCfiG9YOkv0t3c8BlNnxe" \h </w:instrText>
      </w:r>
      <w:r>
        <w:fldChar w:fldCharType="separate"/>
      </w:r>
      <w:r>
        <w:rPr>
          <w:color w:val="000000" w:themeColor="text1"/>
          <w14:textFill>
            <w14:solidFill>
              <w14:schemeClr w14:val="tx1"/>
            </w14:solidFill>
          </w14:textFill>
        </w:rPr>
        <w:t xml:space="preserve">ZJZ/JL34-4危险化学品使用登记表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上签字。</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气瓶使用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（1）各岗位使用压缩气体作业时，严格执行操作规程，通过集中供气管线或气瓶使用各类作业气体，当气体压力不足时，检验检测人员通知库管人员双人到气瓶间进行气瓶更换或领取气瓶，填写</w:t>
      </w:r>
      <w:r>
        <w:fldChar w:fldCharType="begin"/>
      </w:r>
      <w:r>
        <w:instrText xml:space="preserve"> HYPERLINK "https://pqsuhhq8yu6.feishu.cn/wiki/GGbWwHHM3ikPj6kXLzQcQvUMnOf" \h </w:instrText>
      </w:r>
      <w:r>
        <w:fldChar w:fldCharType="separate"/>
      </w:r>
      <w:r>
        <w:rPr>
          <w:color w:val="000000" w:themeColor="text1"/>
          <w14:textFill>
            <w14:solidFill>
              <w14:schemeClr w14:val="tx1"/>
            </w14:solidFill>
          </w14:textFill>
        </w:rPr>
        <w:t xml:space="preserve">ZJZ/JL34-14气瓶管理台账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化学品安全技术说明书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站长组织有关实验室安全和技术人员根据《GB/T 16483化学品安全技术说明书 内容和项目顺序》编写《实验室化学品安全技术说明书》。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实验室化学品安全技术说明书应放置于便于检验检测人员易于获取的地方，保管和发放执行</w:t>
      </w: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当发生紧急情况，实验室应主动提供《实验室化学品安全技术说明书》给应急救援人员，便于及时救援。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安全标识和标签</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危险化学品储存容器应按照《GB15258 化学品安全标签编写规定》要求张贴安全标签；自配制标准溶液容器上的标签内容应包括：名称、配制浓度、配置人、配制日期、有效期。</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对存放的危险化学品应定期进行检查、清理，发现过期、失效、包装损坏和无标签或标签脱落损坏而无法辨认的应立即进行处理。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4.5.3 对于具有危险性的化学品，应在物品明显的位置加贴适当的警示。</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4.5.4 严禁使用未有标签容器中的化学品。</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w:t>
      </w:r>
      <w:r>
        <w:rPr>
          <w:b/>
          <w:color w:val="000000" w:themeColor="text1"/>
          <w14:textFill>
            <w14:solidFill>
              <w14:schemeClr w14:val="tx1"/>
            </w14:solidFill>
          </w14:textFill>
        </w:rPr>
        <w:t xml:space="preserve">监督检查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 库管人员每日对易制毒、易制爆危险化学品储存库进行例行检查，填写</w:t>
      </w:r>
      <w:r>
        <w:fldChar w:fldCharType="begin"/>
      </w:r>
      <w:r>
        <w:instrText xml:space="preserve"> HYPERLINK "https://pqsuhhq8yu6.feishu.cn/wiki/J2dBwZuE0i7mqikqjztcSH2qnae" \h </w:instrText>
      </w:r>
      <w:r>
        <w:fldChar w:fldCharType="separate"/>
      </w:r>
      <w:r>
        <w:rPr>
          <w:color w:val="000000" w:themeColor="text1"/>
          <w14:textFill>
            <w14:solidFill>
              <w14:schemeClr w14:val="tx1"/>
            </w14:solidFill>
          </w14:textFill>
        </w:rPr>
        <w:t xml:space="preserve">ZJZ/JL34-12易制爆、易制毒危险化学品存放检查核对表（日检）</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4.6.2 库房管理员在危险化学品发放过程中发现有超过有效期或者变质时，应及时处理；发现标签丢失、模糊，应重新张贴标签（化学品需经过确认）；发现容器材质老化、变脆，应及时更换合适的新容器。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4.6.3 质量检测站站长每月开展HSE检查，其中应对危险化学品的安全管理进行监督检查。</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《GB15603常用危险化学品贮存通则》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《GB17914易燃易爆商品储存养护技术条件》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《GB17915 腐蚀性商品储存养护技术条件》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《GB17916 毒害性商品储存养护技术条件》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《A2019AQJS实验室化学品安全技术说明书》</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《GB/T 16483化学品安全技术说明书 内容和项目顺序》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《GB15258 化学品安全标签编写规定》</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《GB13690 化学品分类和危险性公示 通则》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《GB27476.5-2014 检测实验室安全，第5部分 ，化学因素》附录A</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《剧毒化学品管理条例》（公安部77号令）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《易制毒化学品管理条例》（国务院445号）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《危险化学品管理条例》（2011年）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《实验室危险化学品管理办法》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《危险化学品仓库管理人员的职责》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《危险化学品使用人员职责》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《危险化学品单位负责人职责》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《GA 1511易制爆危险化学品储存场所治安防范要求》</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"https://pqsuhhq8yu6.feishu.cn/wiki/YWM6wEJA0iWHdrkFvHqczfBnnKc" \h </w:instrText>
      </w:r>
      <w:r>
        <w:fldChar w:fldCharType="separate"/>
      </w:r>
      <w:r>
        <w:rPr>
          <w:color w:val="000000" w:themeColor="text1"/>
          <w14:textFill>
            <w14:solidFill>
              <w14:schemeClr w14:val="tx1"/>
            </w14:solidFill>
          </w14:textFill>
        </w:rPr>
        <w:t xml:space="preserve">ZJZ/CX-10 文件控制和维护程序</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"https://pqsuhhq8yu6.feishu.cn/wiki/KYGcwufWCidDPlkqAWuco8uenwd" \h </w:instrText>
      </w:r>
      <w:r>
        <w:fldChar w:fldCharType="separate"/>
      </w:r>
      <w:r>
        <w:rPr>
          <w:color w:val="000000" w:themeColor="text1"/>
          <w14:textFill>
            <w14:solidFill>
              <w14:schemeClr w14:val="tx1"/>
            </w14:solidFill>
          </w14:textFill>
        </w:rPr>
        <w:t xml:space="preserve">ZJZ/JL34-1进入仓库人员登记表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"https://pqsuhhq8yu6.feishu.cn/wiki/UWGkwAOmiiyJOFkfo2cceww1ngL" \h </w:instrText>
      </w:r>
      <w:r>
        <w:fldChar w:fldCharType="separate"/>
      </w:r>
      <w:r>
        <w:rPr>
          <w:color w:val="000000" w:themeColor="text1"/>
          <w14:textFill>
            <w14:solidFill>
              <w14:schemeClr w14:val="tx1"/>
            </w14:solidFill>
          </w14:textFill>
        </w:rPr>
        <w:t xml:space="preserve">ZJZ/JL 13-2 </w:t>
      </w:r>
      <w:bookmarkStart w:id="59" w:name="_Toc202949678"/>
      <w:r/>
      <w:bookmarkStart w:id="60" w:name="_Toc15724669"/>
      <w:r/>
      <w:bookmarkStart w:id="61" w:name="_Toc30241398"/>
      <w:r>
        <w:rPr>
          <w:rFonts w:cs="Times New Roman"/>
          <w:color w:val="000000"/>
        </w:rPr>
        <w:t xml:space="preserve">材料物品到货验收单</w:t>
      </w:r>
      <w:bookmarkEnd w:id="59"/>
      <w:r/>
      <w:bookmarkEnd w:id="60"/>
      <w:r/>
      <w:bookmarkEnd w:id="61"/>
      <w:r>
        <w:rPr>
          <w:rFonts w:cs="Times New Roman"/>
          <w:color w:val="000000"/>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"https://pqsuhhq8yu6.feishu.cn/wiki/YBdswYPpWiMZJRkxbHpczYLAnvn" \h </w:instrText>
      </w:r>
      <w:r>
        <w:fldChar w:fldCharType="separate"/>
      </w:r>
      <w:r>
        <w:rPr>
          <w:color w:val="000000" w:themeColor="text1"/>
          <w14:textFill>
            <w14:solidFill>
              <w14:schemeClr w14:val="tx1"/>
            </w14:solidFill>
          </w14:textFill>
        </w:rPr>
        <w:t xml:space="preserve">ZJZ/JL 13-8 实验材料质量验收单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"https://pqsuhhq8yu6.feishu.cn/wiki/JfqIwpGHCiDIIlkt7KncVZI5n7b" \h </w:instrText>
      </w:r>
      <w:r>
        <w:fldChar w:fldCharType="separate"/>
      </w:r>
      <w:r>
        <w:rPr>
          <w:color w:val="000000" w:themeColor="text1"/>
          <w14:textFill>
            <w14:solidFill>
              <w14:schemeClr w14:val="tx1"/>
            </w14:solidFill>
          </w14:textFill>
        </w:rPr>
        <w:t xml:space="preserve">ZJZ/JL34-9危险化学品台账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"https://pqsuhhq8yu6.feishu.cn/wiki/GGbWwHHM3ikPj6kXLzQcQvUMnOf" \h </w:instrText>
      </w:r>
      <w:r>
        <w:fldChar w:fldCharType="separate"/>
      </w:r>
      <w:r>
        <w:rPr>
          <w:color w:val="000000" w:themeColor="text1"/>
          <w14:textFill>
            <w14:solidFill>
              <w14:schemeClr w14:val="tx1"/>
            </w14:solidFill>
          </w14:textFill>
        </w:rPr>
        <w:t xml:space="preserve">ZJZ/JL 32-14 气瓶管理台账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"https://pqsuhhq8yu6.feishu.cn/wiki/UR3AwgEmMitS4Fkf2P5cSZZOnPf" \h </w:instrText>
      </w:r>
      <w:r>
        <w:fldChar w:fldCharType="separate"/>
      </w:r>
      <w:r>
        <w:rPr>
          <w:color w:val="000000" w:themeColor="text1"/>
          <w14:textFill>
            <w14:solidFill>
              <w14:schemeClr w14:val="tx1"/>
            </w14:solidFill>
          </w14:textFill>
        </w:rPr>
        <w:t xml:space="preserve">ZJZ/JL 34-2 危险化学品入库登记表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"https://pqsuhhq8yu6.feishu.cn/wiki/PPr1w65xGiqfoWkxPgqcpiDkneb" \h </w:instrText>
      </w:r>
      <w:r>
        <w:fldChar w:fldCharType="separate"/>
      </w:r>
      <w:r>
        <w:rPr>
          <w:color w:val="000000" w:themeColor="text1"/>
          <w14:textFill>
            <w14:solidFill>
              <w14:schemeClr w14:val="tx1"/>
            </w14:solidFill>
          </w14:textFill>
        </w:rPr>
        <w:t xml:space="preserve">ZJZ/JL34-7气瓶验收检查表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"https://pqsuhhq8yu6.feishu.cn/wiki/GUtOw3arxicWlQksTi2cQ9tgnJd" \h </w:instrText>
      </w:r>
      <w:r>
        <w:fldChar w:fldCharType="separate"/>
      </w:r>
      <w:r>
        <w:rPr>
          <w:color w:val="000000" w:themeColor="text1"/>
          <w14:textFill>
            <w14:solidFill>
              <w14:schemeClr w14:val="tx1"/>
            </w14:solidFill>
          </w14:textFill>
        </w:rPr>
        <w:t xml:space="preserve">ZJZ/JL 34-13易制爆、易制毒化学试剂领用申请表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"https://pqsuhhq8yu6.feishu.cn/wiki/PjeVwtKVKipWBFkVRCTcJlgVnIb" \h </w:instrText>
      </w:r>
      <w:r>
        <w:fldChar w:fldCharType="separate"/>
      </w:r>
      <w:r>
        <w:rPr>
          <w:color w:val="000000" w:themeColor="text1"/>
          <w14:textFill>
            <w14:solidFill>
              <w14:schemeClr w14:val="tx1"/>
            </w14:solidFill>
          </w14:textFill>
        </w:rPr>
        <w:t xml:space="preserve">ZJZ/JL 34-10 易制毒、易制爆危险化学品领用记录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"https://pqsuhhq8yu6.feishu.cn/wiki/SVhbwto1iiy5z7klGGecDtulngg" \h </w:instrText>
      </w:r>
      <w:r>
        <w:fldChar w:fldCharType="separate"/>
      </w:r>
      <w:r>
        <w:rPr>
          <w:color w:val="000000" w:themeColor="text1"/>
          <w14:textFill>
            <w14:solidFill>
              <w14:schemeClr w14:val="tx1"/>
            </w14:solidFill>
          </w14:textFill>
        </w:rPr>
        <w:t xml:space="preserve">ZJZ/JL 34-11 易制毒、易制爆危险化学品使用记录</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"https://pqsuhhq8yu6.feishu.cn/wiki/V2gqwdRCfiG9YOkv0t3c8BlNnxe" \h </w:instrText>
      </w:r>
      <w:r>
        <w:fldChar w:fldCharType="separate"/>
      </w:r>
      <w:r>
        <w:rPr>
          <w:color w:val="000000" w:themeColor="text1"/>
          <w14:textFill>
            <w14:solidFill>
              <w14:schemeClr w14:val="tx1"/>
            </w14:solidFill>
          </w14:textFill>
        </w:rPr>
        <w:t xml:space="preserve">ZJZ/JL34-4危险化学品使用登记表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"https://pqsuhhq8yu6.feishu.cn/wiki/J2dBwZuE0i7mqikqjztcSH2qnae" \h </w:instrText>
      </w:r>
      <w:r>
        <w:fldChar w:fldCharType="separate"/>
      </w:r>
      <w:r>
        <w:rPr>
          <w:color w:val="000000" w:themeColor="text1"/>
          <w14:textFill>
            <w14:solidFill>
              <w14:schemeClr w14:val="tx1"/>
            </w14:solidFill>
          </w14:textFill>
        </w:rPr>
        <w:t xml:space="preserve">ZJZ/JL34-12易制爆、易制毒危险化学品存放检查核对表（日检）</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ZJZ/JL34-13易制爆、易制毒化学试剂领用申请表</w:t>
      </w:r>
      <w:r>
        <w:rPr>
          <w:color w:val="000000" w:themeColor="text1"/>
          <w14:textFill>
            <w14:solidFill>
              <w14:schemeClr w14:val="tx1"/>
            </w14:solidFill>
          </w14:textFill>
        </w:rPr>
      </w:r>
    </w:p>
    <w:p>
      <w:pPr>
        <w:pBdr/>
        <w:spacing/>
        <w:ind/>
        <w:rPr>
          <w:rFonts w:hint="eastAsia"/>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"https://pqsuhhq8yu6.feishu.cn/wiki/GGbWwHHM3ikPj6kXLzQcQvUMnOf" \h </w:instrText>
      </w:r>
      <w:r>
        <w:fldChar w:fldCharType="separate"/>
      </w:r>
      <w:r>
        <w:rPr>
          <w:color w:val="000000" w:themeColor="text1"/>
          <w14:textFill>
            <w14:solidFill>
              <w14:schemeClr w14:val="tx1"/>
            </w14:solidFill>
          </w14:textFill>
        </w:rPr>
        <w:t xml:space="preserve">ZJZ/JL34-14气瓶管理台账</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62" w:name="_Toc7312"/>
      <w:r>
        <w:rPr>
          <w:color w:val="000000" w:themeColor="text1"/>
          <w14:textFill>
            <w14:solidFill>
              <w14:schemeClr w14:val="tx1"/>
            </w14:solidFill>
          </w14:textFill>
        </w:rPr>
        <w:t xml:space="preserve">ZJZ/CX-33 危险废物管理程序</w:t>
      </w:r>
      <w:bookmarkEnd w:id="62"/>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为进一步规范质量检测站危险废物的管理，确保实验室危险废物的产生、收集、贮存、转移、处置等全过程的依法合规，特制定本程序文件。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本程序适用于检验检测活动过程中产生的危险废物的处置。</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 生产运行室：负责中心危险废物管理制度的制修订及相关制度的完善；负责对业务室站危险废物管理的指导；负责第三方危险废物处置单位的资质审核及能力确认、合同签订、费用结算；负责维护中心在新疆维吾尔自治区固体废物动态信息管理平台中年度管理计划申报、单位基础信息维护等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3.2 站长：按照属地管理原则，是危险废物管理的第一责任人；负责贯彻执行国家、地方关于危险废物的法规、标准和规范；</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3.3 库房管理员：负责健全危险废物台账，按照标准要求设置危险废物贮存现场（室内、室外）的标识、标志、标牌；负责对危险废物进行合规收集、贮存和转移；负责在危险废物转移时线上上发起转移联单，确保合法转移。</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3.4 安全管理员：负责组织编制、修订应急预案，定期组织演练，落实属地生态环境行政主管部门备案工作。负责动态维护本单位在新疆维吾尔自治区固体废物动态信息管理平台中危险废物的每日出入库数据填报、转移联单信息发起等工作。</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3.5 检验检测人员：负责本岗位危险废物产生、收集、回收等记录的填写。</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工作程序</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危险废物管理主要包括管理计划、产生与收集、贮存、转运、处置、台账管理等要求。其中危险废物的定义如下：</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危险废物：列入</w:t>
      </w:r>
      <w:r>
        <w:fldChar w:fldCharType="begin"/>
      </w:r>
      <w:r>
        <w:instrText xml:space="preserve"> HYPERLINK "https://pqsuhhq8yu6.feishu.cn/wiki/Zb2awA59QiYb99kyGtec1xatnIg" \h </w:instrText>
      </w:r>
      <w:r>
        <w:fldChar w:fldCharType="separate"/>
      </w:r>
      <w:r>
        <w:rPr>
          <w:color w:val="000000" w:themeColor="text1"/>
          <w14:textFill>
            <w14:solidFill>
              <w14:schemeClr w14:val="tx1"/>
            </w14:solidFill>
          </w14:textFill>
        </w:rPr>
        <w:t xml:space="preserve">国家危险废物名录（2021年版）</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或者根据国家规定的危险废物鉴别标准和鉴别方法认定的具有危险特性的固体废物。</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管理计划的上报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4.1.1 年初综合管理室按要求编制年度危险废物管理计划，经实验检测技术中心审定后在自治区固体废物动态信息管理平台中申报。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4.1.2 质量检测站按照</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源头预防、过程防控、治理减量</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的原则，定期跟踪年度产废量与管理计划的符合率，如有特殊原因需调整管理计划时，提前向生产运行室提交申请。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产生与收集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4.2.1 质量检测站安全员组织中心</w:t>
      </w:r>
      <w:r>
        <w:fldChar w:fldCharType="begin"/>
      </w:r>
      <w:r>
        <w:instrText xml:space="preserve"> HYPERLINK "https://pqsuhhq8yu6.feishu.cn/wiki/C8ndwTvEyi7RSokmZ3kcL7AenBc" \h </w:instrText>
      </w:r>
      <w:r>
        <w:fldChar w:fldCharType="separate"/>
      </w:r>
      <w:r>
        <w:rPr>
          <w:color w:val="000000" w:themeColor="text1"/>
          <w14:textFill>
            <w14:solidFill>
              <w14:schemeClr w14:val="tx1"/>
            </w14:solidFill>
          </w14:textFill>
        </w:rPr>
        <w:t xml:space="preserve">实验检测技术中心危险废物识别清单（2022年版）</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培训宣贯，确保岗位人员清楚危险废物类别、特性和储存要求等信息。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4.2.2 实验室的废液收集应选择与危险废物相容（不发生相互反应）的容器进行收集，根据危废的性质和类型进行分类收集。一般化学有机、无机废液可选用密封式塑料桶，废原油可选择密封塑料桶或金属桶，废弃试剂瓶可选用纸箱。</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4.2.3 盛装危险废物的容器上必须粘贴符合</w:t>
      </w:r>
      <w:r>
        <w:fldChar w:fldCharType="begin"/>
      </w:r>
      <w:r>
        <w:instrText xml:space="preserve"> HYPERLINK "https://pqsuhhq8yu6.feishu.cn/wiki/HjcawQu30imO4qkLONlcsdvknLb" \h </w:instrText>
      </w:r>
      <w:r>
        <w:fldChar w:fldCharType="separate"/>
      </w:r>
      <w:r>
        <w:rPr>
          <w:color w:val="000000" w:themeColor="text1"/>
          <w14:textFill>
            <w14:solidFill>
              <w14:schemeClr w14:val="tx1"/>
            </w14:solidFill>
          </w14:textFill>
        </w:rPr>
        <w:t xml:space="preserve">HJ 1276-2022 危险废物识别标志设置技术规范</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所示的标签，标签样式见图1。危险废物标签应以醒目的字样标注</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危险废物</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，危险废物标签应包含废物名称、废物类别、废物代码、废物形态、危险特性、主要成分、有害成分、注意事项、产生/收集单位名称、联系人、联系方式、产生日期、废物重量和备注。</w: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3486150" cy="3495675"/>
                <wp:effectExtent l="0" t="0" r="0" b="0"/>
                <wp:docPr id="20"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0"/>
                        <pic:cNvPicPr>
                          <a:picLocks noChangeAspect="1"/>
                        </pic:cNvPicPr>
                        <pic:nvPr/>
                      </pic:nvPicPr>
                      <pic:blipFill>
                        <a:blip r:embed="rId35"/>
                        <a:stretch/>
                      </pic:blipFill>
                      <pic:spPr bwMode="auto">
                        <a:xfrm>
                          <a:off x="0" y="0"/>
                          <a:ext cx="3486150" cy="34956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74.50pt;height:275.25pt;mso-wrap-distance-left:0.00pt;mso-wrap-distance-top:0.00pt;mso-wrap-distance-right:0.00pt;mso-wrap-distance-bottom:0.00pt;z-index:1;" stroked="false">
                <v:imagedata r:id="rId35" o:title=""/>
                <o:lock v:ext="edit" rotation="t"/>
              </v:shape>
            </w:pict>
          </mc:Fallback>
        </mc:AlternateContent>
      </w:r>
      <w:r>
        <w:rPr>
          <w:color w:val="000000" w:themeColor="text1"/>
          <w14:textFill>
            <w14:solidFill>
              <w14:schemeClr w14:val="tx1"/>
            </w14:solidFill>
          </w14:textFill>
        </w:rPr>
      </w:r>
    </w:p>
    <w:p>
      <w:pPr>
        <w:pBdr/>
        <w:spacing/>
        <w:ind/>
        <w:jc w:val="center"/>
        <w:rPr>
          <w:color w:val="000000" w:themeColor="text1"/>
          <w14:textFill>
            <w14:solidFill>
              <w14:schemeClr w14:val="tx1"/>
            </w14:solidFill>
          </w14:textFill>
        </w:rPr>
      </w:pPr>
      <w:r>
        <w:rPr>
          <w:color w:val="000000" w:themeColor="text1"/>
          <w14:textFill>
            <w14:solidFill>
              <w14:schemeClr w14:val="tx1"/>
            </w14:solidFill>
          </w14:textFill>
        </w:rPr>
        <w:t xml:space="preserve">危险废物标签</w:t>
      </w:r>
      <w:r>
        <w:rPr>
          <w:color w:val="000000" w:themeColor="text1"/>
          <w14:textFill>
            <w14:solidFill>
              <w14:schemeClr w14:val="tx1"/>
            </w14:solidFill>
          </w14:textFill>
        </w:rPr>
        <w:b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4.2.4 实验室应根据危险废物类别，建立危险废物产生台账。台账内容应包括废物类型、产废时间、产废地点、产废量、实验人、产废来源等内容。实验室产生的废液由实验检测人员收集并填写</w:t>
      </w:r>
      <w:r>
        <w:fldChar w:fldCharType="begin"/>
      </w:r>
      <w:r>
        <w:instrText xml:space="preserve"> HYPERLINK "https://pqsuhhq8yu6.feishu.cn/wiki/NnfowakhYiZvkikiiQ6c70gVnFh" \h </w:instrText>
      </w:r>
      <w:r>
        <w:fldChar w:fldCharType="separate"/>
      </w:r>
      <w:r>
        <w:rPr>
          <w:color w:val="000000" w:themeColor="text1"/>
          <w14:textFill>
            <w14:solidFill>
              <w14:schemeClr w14:val="tx1"/>
            </w14:solidFill>
          </w14:textFill>
        </w:rPr>
        <w:t xml:space="preserve">ZJZ/JL33-1</w:t>
      </w:r>
      <w:r>
        <w:rPr>
          <w:rFonts w:hint="eastAsia"/>
          <w:color w:val="000000" w:themeColor="text1"/>
          <w14:textFill>
            <w14:solidFill>
              <w14:schemeClr w14:val="tx1"/>
            </w14:solidFill>
          </w14:textFill>
        </w:rPr>
        <w:t xml:space="preserve">危险废物产生环节记录表</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4.2.5 当实验室废液桶满后（容器顶部与液体表面之间应保留100mm以上的空间），检验检测人员及时将废液桶移交至综合管理室危废贮存间，移交时须对危险废物称重确认，并做好交接记录，填写</w:t>
      </w:r>
      <w:r>
        <w:fldChar w:fldCharType="begin"/>
      </w:r>
      <w:r>
        <w:instrText xml:space="preserve"> HYPERLINK "https://pqsuhhq8yu6.feishu.cn/wiki/XTXBw7R3Ci7uBNk2Yfzc898Nnqc" \h </w:instrText>
      </w:r>
      <w:r>
        <w:fldChar w:fldCharType="separate"/>
      </w:r>
      <w:r>
        <w:rPr>
          <w:color w:val="000000" w:themeColor="text1"/>
          <w14:textFill>
            <w14:solidFill>
              <w14:schemeClr w14:val="tx1"/>
            </w14:solidFill>
          </w14:textFill>
        </w:rPr>
        <w:t xml:space="preserve">ZJZ/JL33-2</w:t>
      </w:r>
      <w:r>
        <w:rPr>
          <w:rFonts w:hint="eastAsia"/>
          <w:color w:val="000000" w:themeColor="text1"/>
          <w14:textFill>
            <w14:solidFill>
              <w14:schemeClr w14:val="tx1"/>
            </w14:solidFill>
          </w14:textFill>
        </w:rPr>
        <w:t xml:space="preserve">危险废物入库环节记录表</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4.2.6 化学试剂瓶和受危险化学品污染的包装物也属于危险废物，按同等要求管理。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4.2.7 移交后危废库管人员及时将危废转移量在自治区固体废物动态信息管理平台中登记入库。</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w:t>
      </w:r>
      <w:r>
        <w:rPr>
          <w:b/>
          <w:color w:val="000000" w:themeColor="text1"/>
          <w14:textFill>
            <w14:solidFill>
              <w14:schemeClr w14:val="tx1"/>
            </w14:solidFill>
          </w14:textFill>
        </w:rPr>
        <w:t xml:space="preserve">贮存</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4.3.1 质量检测站按照危险废物应设置专用的危险废物贮存间，并按照《GB 18597 危险废物贮存污染控制标准》要求设计和堆放，危废贮存部分应有防渗裙脚或储漏盘。危险贮存应采取有效措施防止有害物质、挥发性有机物、恶臭气体泄漏、逸散。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4.3.2 危险废物贮存设施现场应按照</w:t>
      </w:r>
      <w:r>
        <w:fldChar w:fldCharType="begin"/>
      </w:r>
      <w:r>
        <w:instrText xml:space="preserve"> HYPERLINK "https://pqsuhhq8yu6.feishu.cn/wiki/HjcawQu30imO4qkLONlcsdvknLb" \h </w:instrText>
      </w:r>
      <w:r>
        <w:fldChar w:fldCharType="separate"/>
      </w:r>
      <w:r>
        <w:rPr>
          <w:color w:val="000000" w:themeColor="text1"/>
          <w14:textFill>
            <w14:solidFill>
              <w14:schemeClr w14:val="tx1"/>
            </w14:solidFill>
          </w14:textFill>
        </w:rPr>
        <w:t xml:space="preserve">HJ 1276-2022 危险废物识别标志设置技术规范</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设置危险废物贮存分区标志和危险废物储存设施标志。具体见下图。</w:t>
      </w:r>
      <w:r>
        <w:rPr>
          <w:color w:val="000000" w:themeColor="text1"/>
          <w14:textFill>
            <w14:solidFill>
              <w14:schemeClr w14:val="tx1"/>
            </w14:solidFill>
          </w14:textFill>
        </w:rPr>
      </w:r>
    </w:p>
    <w:tbl>
      <w:tblPr>
        <w:tblStyle w:val="1988"/>
        <w:tblW w:w="0" w:type="auto"/>
        <w:tblInd w:w="0" w:type="dxa"/>
        <w:tblBorders/>
        <w:tblLayout w:type="fixed"/>
        <w:tblCellMar>
          <w:left w:w="10" w:type="dxa"/>
          <w:top w:w="0" w:type="dxa"/>
          <w:right w:w="10" w:type="dxa"/>
          <w:bottom w:w="0" w:type="dxa"/>
        </w:tblCellMar>
        <w:tblLook w:val="04A0" w:firstRow="1" w:lastRow="0" w:firstColumn="1" w:lastColumn="0" w:noHBand="0" w:noVBand="1"/>
      </w:tblPr>
      <w:tblGrid>
        <w:gridCol w:w="4140"/>
        <w:gridCol w:w="4140"/>
      </w:tblGrid>
      <w:tr>
        <w:trPr/>
        <w:tc>
          <w:tcPr>
            <w:tcBorders/>
            <w:tcMar>
              <w:left w:w="120" w:type="dxa"/>
              <w:top w:w="60" w:type="dxa"/>
              <w:right w:w="120" w:type="dxa"/>
              <w:bottom w:w="30" w:type="dxa"/>
            </w:tcMar>
            <w:tcW w:w="414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1829435" cy="1829435"/>
                      <wp:effectExtent l="0" t="0" r="18415" b="18415"/>
                      <wp:docPr id="21"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
                              <pic:cNvPicPr>
                                <a:picLocks noChangeAspect="1"/>
                              </pic:cNvPicPr>
                              <pic:nvPr/>
                            </pic:nvPicPr>
                            <pic:blipFill>
                              <a:blip r:embed="rId36"/>
                              <a:stretch/>
                            </pic:blipFill>
                            <pic:spPr bwMode="auto">
                              <a:xfrm>
                                <a:off x="0" y="0"/>
                                <a:ext cx="1829435" cy="18294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4.05pt;height:144.05pt;mso-wrap-distance-left:0.00pt;mso-wrap-distance-top:0.00pt;mso-wrap-distance-right:0.00pt;mso-wrap-distance-bottom:0.00pt;z-index:1;" stroked="false">
                      <v:imagedata r:id="rId36" o:title=""/>
                      <o:lock v:ext="edit" rotation="t"/>
                    </v:shape>
                  </w:pict>
                </mc:Fallback>
              </mc:AlternateConten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危险废物贮存分区标志</w:t>
            </w:r>
            <w:r>
              <w:rPr>
                <w:rFonts w:hint="default"/>
                <w:color w:val="000000" w:themeColor="text1"/>
                <w14:textFill>
                  <w14:solidFill>
                    <w14:schemeClr w14:val="tx1"/>
                  </w14:solidFill>
                </w14:textFill>
              </w:rPr>
            </w:r>
          </w:p>
        </w:tc>
        <w:tc>
          <w:tcPr>
            <w:tcBorders/>
            <w:tcMar>
              <w:left w:w="120" w:type="dxa"/>
              <w:top w:w="60" w:type="dxa"/>
              <w:right w:w="120" w:type="dxa"/>
              <w:bottom w:w="30" w:type="dxa"/>
            </w:tcMar>
            <w:tcW w:w="4140" w:type="dxa"/>
            <w:textDirection w:val="lrTb"/>
            <w:noWrap w:val="false"/>
          </w:tcPr>
          <w:p>
            <w:pPr>
              <w:keepNext w:val="false"/>
              <w:keepLines w:val="false"/>
              <w:suppressLineNumbers w:val="false"/>
              <w:pBdr/>
              <w:spacing w:afterAutospacing="0" w:beforeAutospacing="0"/>
              <w:ind w:right="0" w:left="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mc:AlternateContent>
                <mc:Choice Requires="wpg">
                  <w:drawing>
                    <wp:inline xmlns:wp="http://schemas.openxmlformats.org/drawingml/2006/wordprocessingDrawing" distT="0" distB="0" distL="0" distR="0">
                      <wp:extent cx="2476500" cy="1857375"/>
                      <wp:effectExtent l="0" t="0" r="0" b="0"/>
                      <wp:docPr id="2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2"/>
                              <pic:cNvPicPr>
                                <a:picLocks noChangeAspect="1"/>
                              </pic:cNvPicPr>
                              <pic:nvPr/>
                            </pic:nvPicPr>
                            <pic:blipFill>
                              <a:blip r:embed="rId37"/>
                              <a:stretch/>
                            </pic:blipFill>
                            <pic:spPr bwMode="auto">
                              <a:xfrm>
                                <a:off x="0" y="0"/>
                                <a:ext cx="2476500" cy="18573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5.00pt;height:146.25pt;mso-wrap-distance-left:0.00pt;mso-wrap-distance-top:0.00pt;mso-wrap-distance-right:0.00pt;mso-wrap-distance-bottom:0.00pt;z-index:1;" stroked="false">
                      <v:imagedata r:id="rId37" o:title=""/>
                      <o:lock v:ext="edit" rotation="t"/>
                    </v:shape>
                  </w:pict>
                </mc:Fallback>
              </mc:AlternateContent>
            </w:r>
            <w:r>
              <w:rPr>
                <w:rFonts w:hint="default"/>
                <w:color w:val="000000" w:themeColor="text1"/>
                <w14:textFill>
                  <w14:solidFill>
                    <w14:schemeClr w14:val="tx1"/>
                  </w14:solidFill>
                </w14:textFill>
              </w:rPr>
            </w:r>
          </w:p>
          <w:p>
            <w:pPr>
              <w:keepNext w:val="false"/>
              <w:keepLines w:val="false"/>
              <w:suppressLineNumbers w:val="false"/>
              <w:pBdr/>
              <w:spacing w:afterAutospacing="0" w:beforeAutospacing="0"/>
              <w:ind w:right="0" w:left="0"/>
              <w:jc w:val="center"/>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 xml:space="preserve">危险废物储存设施标志</w:t>
            </w:r>
            <w:r>
              <w:rPr>
                <w:rFonts w:hint="default"/>
                <w:color w:val="000000" w:themeColor="text1"/>
                <w14:textFill>
                  <w14:solidFill>
                    <w14:schemeClr w14:val="tx1"/>
                  </w14:solidFill>
                </w14:textFill>
              </w:rPr>
            </w:r>
          </w:p>
        </w:tc>
      </w:tr>
    </w:tbl>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4.3.3 库房管理员做好危险废物贮存情况的记录，包括危险废物名称、来源、代码、数量、特性和包装容器的类别、存放地点、出入库日期等信息。</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4.3.4 危险废物应分区分类贮存，不相容的危险废物不能堆放在一起。</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4.3.5 危险废物贮存应控制总量并及时处置，危险废物贮存不得超过1年，确需延长期限的，应向生产运行室提出申请，同意后报请当地环境保护行政主管部门批准。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w:t>
      </w:r>
      <w:r>
        <w:rPr>
          <w:b/>
          <w:color w:val="000000" w:themeColor="text1"/>
          <w14:textFill>
            <w14:solidFill>
              <w14:schemeClr w14:val="tx1"/>
            </w14:solidFill>
          </w14:textFill>
        </w:rPr>
        <w:t xml:space="preserve">转运</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4.4.1 危险废物转移前，由质量检测站综合管理室向生产运行室室报备，并与第三方处置单位联系确认处置时间。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4.4.2 危险废物转移前由库房管理员在自治区危废平台上申请创建</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危险废物转移联单</w:t>
      </w:r>
      <w:r>
        <w:rPr>
          <w:rFonts w:hint="eastAsia"/>
          <w:color w:val="000000" w:themeColor="text1"/>
          <w:lang w:eastAsia="zh-CN"/>
          <w14:textFill>
            <w14:solidFill>
              <w14:schemeClr w14:val="tx1"/>
            </w14:solidFill>
          </w14:textFill>
        </w:rPr>
        <w:t xml:space="preserve">”</w:t>
      </w:r>
      <w:r>
        <w:rPr>
          <w:color w:val="000000" w:themeColor="text1"/>
          <w14:textFill>
            <w14:solidFill>
              <w14:schemeClr w14:val="tx1"/>
            </w14:solidFill>
          </w14:textFill>
        </w:rPr>
        <w:t xml:space="preserve">，按照库存量填写待现场确认转移重量后，如危险废物重量有差异，及时在平台中进行库存调整。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4.4.3 在危废转移现场，安全员应与拉运单位做好现场交接确认，填写ZJZ/JL33-3</w:t>
      </w:r>
      <w:r>
        <w:rPr>
          <w:rFonts w:hint="eastAsia"/>
          <w:color w:val="000000" w:themeColor="text1"/>
          <w14:textFill>
            <w14:solidFill>
              <w14:schemeClr w14:val="tx1"/>
            </w14:solidFill>
          </w14:textFill>
        </w:rPr>
        <w:t xml:space="preserve">危险废物出库环节记录表</w:t>
      </w:r>
      <w:r>
        <w:rPr>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w:t>
      </w:r>
      <w:r>
        <w:rPr>
          <w:b/>
          <w:color w:val="000000" w:themeColor="text1"/>
          <w14:textFill>
            <w14:solidFill>
              <w14:schemeClr w14:val="tx1"/>
            </w14:solidFill>
          </w14:textFill>
        </w:rPr>
        <w:t xml:space="preserve"> 处置</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4.5.1 生产运行室根据生产需要及时与具备资质的处置单位签订委托处置合同，并定期跟踪处置单位资质的变化情况。处置单位资质及证明材料由生产运行室存档，并转发业务室站。</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4.5.2 危险废物处置后，综合管理室负责对处置工作量进行确认，签署工作量确认单，确认单须由站长或副站长确认。</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w:t>
      </w:r>
      <w:r>
        <w:rPr>
          <w:b/>
          <w:color w:val="000000" w:themeColor="text1"/>
          <w14:textFill>
            <w14:solidFill>
              <w14:schemeClr w14:val="tx1"/>
            </w14:solidFill>
          </w14:textFill>
        </w:rPr>
        <w:t xml:space="preserve">台账管理</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4.6.1库房管理员做好危险废物产生台账、移交台账、转运交接记录，以线下纸质记录为准。危险废物台账保存期至少为5年。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4.6.2 危废转移台账以自治区固体废物动态信息管理平台记录为准，库房管理员在平台中下载转移联单进行存档备查。</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4.6.3 综合管理室应保证危险废物产生台账、移交台账、转移联单、转运交接记录中的废物类型、数量做到要账物一致。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4.6.4 为便于溯源和管理，质量检测站对实验室产生废液的废液桶进行编号：</w:t>
      </w:r>
      <w:r>
        <w:rPr>
          <w:rFonts w:hint="eastAsia"/>
          <w:color w:val="000000" w:themeColor="text1"/>
          <w:highlight w:val="yellow"/>
          <w14:textFill>
            <w14:solidFill>
              <w14:schemeClr w14:val="tx1"/>
            </w14:solidFill>
          </w14:textFill>
        </w:rPr>
        <w:t xml:space="preserve">年代号+</w:t>
      </w:r>
      <w:r>
        <w:rPr>
          <w:color w:val="000000" w:themeColor="text1"/>
          <w:highlight w:val="yellow"/>
          <w14:textFill>
            <w14:solidFill>
              <w14:schemeClr w14:val="tx1"/>
            </w14:solidFill>
          </w14:textFill>
        </w:rPr>
        <w:t xml:space="preserve">按分室名称拼音缩写+</w:t>
      </w:r>
      <w:r>
        <w:rPr>
          <w:rFonts w:hint="eastAsia"/>
          <w:color w:val="000000" w:themeColor="text1"/>
          <w:highlight w:val="yellow"/>
          <w14:textFill>
            <w14:solidFill>
              <w14:schemeClr w14:val="tx1"/>
            </w14:solidFill>
          </w14:textFill>
        </w:rPr>
        <w:t xml:space="preserve">实验间-序号</w:t>
      </w:r>
      <w:r>
        <w:rPr>
          <w:rFonts w:hint="eastAsia"/>
          <w:color w:val="000000" w:themeColor="text1"/>
          <w14:textFill>
            <w14:solidFill>
              <w14:schemeClr w14:val="tx1"/>
            </w14:solidFill>
          </w14:textFill>
        </w:rPr>
        <w:t xml:space="preserve">，</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年代号：2024、2025......</w:t>
      </w:r>
      <w:r>
        <w:rPr>
          <w:color w:val="000000" w:themeColor="text1"/>
          <w14:textFill>
            <w14:solidFill>
              <w14:schemeClr w14:val="tx1"/>
            </w14:solidFill>
          </w14:textFill>
        </w:rPr>
      </w:r>
    </w:p>
    <w:p>
      <w:pPr>
        <w:pBdr/>
        <w:spacing/>
        <w:ind/>
        <w:rPr>
          <w:color w:val="0000ff"/>
        </w:rPr>
      </w:pPr>
      <w:r>
        <w:rPr>
          <w:rFonts w:hint="eastAsia"/>
          <w:color w:val="000000" w:themeColor="text1"/>
          <w14:textFill>
            <w14:solidFill>
              <w14:schemeClr w14:val="tx1"/>
            </w14:solidFill>
          </w14:textFill>
        </w:rPr>
        <w:t xml:space="preserve">专业室名称：</w:t>
      </w:r>
      <w:r>
        <w:rPr>
          <w:color w:val="000000" w:themeColor="text1"/>
          <w14:textFill>
            <w14:solidFill>
              <w14:schemeClr w14:val="tx1"/>
            </w14:solidFill>
          </w14:textFill>
        </w:rPr>
        <w:t xml:space="preserve">（</w:t>
      </w:r>
      <w:r>
        <w:rPr>
          <w:rFonts w:hint="eastAsia"/>
          <w:color w:val="000000" w:themeColor="text1"/>
          <w14:textFill>
            <w14:solidFill>
              <w14:schemeClr w14:val="tx1"/>
            </w14:solidFill>
          </w14:textFill>
        </w:rPr>
        <w:t xml:space="preserve">轮台实验室：LT；顺北实验室：SHB；站点：站点名称缩写，</w:t>
      </w:r>
      <w:r>
        <w:rPr>
          <w:rFonts w:hint="eastAsia"/>
          <w:color w:val="0000ff"/>
        </w:rPr>
        <w:t xml:space="preserve">一号联合站，Y</w:t>
      </w:r>
      <w:r>
        <w:rPr>
          <w:color w:val="0000ff"/>
        </w:rPr>
        <w:t xml:space="preserve">L</w:t>
      </w:r>
      <w:r>
        <w:rPr>
          <w:rFonts w:hint="eastAsia"/>
          <w:color w:val="0000ff"/>
        </w:rPr>
        <w:t xml:space="preserve">；二号联合站，E</w:t>
      </w:r>
      <w:r>
        <w:rPr>
          <w:color w:val="0000ff"/>
        </w:rPr>
        <w:t xml:space="preserve">L</w:t>
      </w:r>
      <w:r>
        <w:rPr>
          <w:rFonts w:hint="eastAsia"/>
          <w:color w:val="0000ff"/>
        </w:rPr>
        <w:t xml:space="preserve">；三号联合站，</w:t>
      </w:r>
      <w:r>
        <w:rPr>
          <w:color w:val="0000ff"/>
        </w:rPr>
        <w:t xml:space="preserve">SANL</w:t>
      </w:r>
      <w:r>
        <w:rPr>
          <w:rFonts w:hint="eastAsia"/>
          <w:color w:val="0000ff"/>
        </w:rPr>
        <w:t xml:space="preserve">；四号联合站，</w:t>
      </w:r>
      <w:r>
        <w:rPr>
          <w:color w:val="0000ff"/>
        </w:rPr>
        <w:t xml:space="preserve">SIL</w:t>
      </w:r>
      <w:r>
        <w:rPr>
          <w:rFonts w:hint="eastAsia"/>
          <w:color w:val="0000ff"/>
        </w:rPr>
        <w:t xml:space="preserve">；雅克拉集气站，Y</w:t>
      </w:r>
      <w:r>
        <w:rPr>
          <w:color w:val="0000ff"/>
        </w:rPr>
        <w:t xml:space="preserve">J</w:t>
      </w:r>
      <w:r>
        <w:rPr>
          <w:rFonts w:hint="eastAsia"/>
          <w:color w:val="0000ff"/>
        </w:rPr>
        <w:t xml:space="preserve">；轮台末站，L</w:t>
      </w:r>
      <w:r>
        <w:rPr>
          <w:color w:val="0000ff"/>
        </w:rPr>
        <w:t xml:space="preserve">M</w:t>
      </w:r>
      <w:r>
        <w:rPr>
          <w:rFonts w:hint="eastAsia"/>
          <w:color w:val="0000ff"/>
        </w:rPr>
        <w:t xml:space="preserve">；库车末站，K</w:t>
      </w:r>
      <w:r>
        <w:rPr>
          <w:color w:val="0000ff"/>
        </w:rPr>
        <w:t xml:space="preserve">M</w:t>
      </w:r>
      <w:r>
        <w:rPr>
          <w:rFonts w:hint="eastAsia"/>
          <w:color w:val="0000ff"/>
        </w:rPr>
        <w:t xml:space="preserve">；雅克拉末站，Y</w:t>
      </w:r>
      <w:r>
        <w:rPr>
          <w:color w:val="0000ff"/>
        </w:rPr>
        <w:t xml:space="preserve">M</w:t>
      </w:r>
      <w:r>
        <w:rPr>
          <w:rFonts w:hint="eastAsia"/>
          <w:color w:val="0000ff"/>
        </w:rPr>
        <w:t xml:space="preserve">；拓普台处理站，T</w:t>
      </w:r>
      <w:r>
        <w:rPr>
          <w:color w:val="0000ff"/>
        </w:rPr>
        <w:t xml:space="preserve">P</w:t>
      </w:r>
      <w:r>
        <w:rPr>
          <w:rFonts w:hint="eastAsia"/>
          <w:color w:val="0000ff"/>
        </w:rPr>
        <w:t xml:space="preserve">；大涝坝处理站，D</w:t>
      </w:r>
      <w:r>
        <w:rPr>
          <w:color w:val="0000ff"/>
        </w:rPr>
        <w:t xml:space="preserve">LB;</w:t>
      </w:r>
      <w:r>
        <w:rPr>
          <w:color w:val="0000ff"/>
        </w:rPr>
      </w:r>
    </w:p>
    <w:p>
      <w:pPr>
        <w:pBdr/>
        <w:spacing/>
        <w:ind/>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实验间编号：以实际房间号为准，站点统一为001</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序号：1、2、3......（本房间当年第1、2、3......桶）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例：桶编号为2025LT101-1，表示为2025年轮台实验室101房间第1桶废液。</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桶编号为2025YL001-1，表示为2025年一号联合站实验间第1桶废液</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"https://pqsuhhq8yu6.feishu.cn/wiki/Zb2awA59QiYb99kyGtec1xatnIg" \h </w:instrText>
      </w:r>
      <w:r>
        <w:fldChar w:fldCharType="separate"/>
      </w:r>
      <w:r>
        <w:rPr>
          <w:color w:val="000000" w:themeColor="text1"/>
          <w14:textFill>
            <w14:solidFill>
              <w14:schemeClr w14:val="tx1"/>
            </w14:solidFill>
          </w14:textFill>
        </w:rPr>
        <w:t xml:space="preserve">国家危险废物名录（2021年版）</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"https://pqsuhhq8yu6.feishu.cn/wiki/C8ndwTvEyi7RSokmZ3kcL7AenBc" \h </w:instrText>
      </w:r>
      <w:r>
        <w:fldChar w:fldCharType="separate"/>
      </w:r>
      <w:r>
        <w:rPr>
          <w:color w:val="000000" w:themeColor="text1"/>
          <w14:textFill>
            <w14:solidFill>
              <w14:schemeClr w14:val="tx1"/>
            </w14:solidFill>
          </w14:textFill>
        </w:rPr>
        <w:t xml:space="preserve">实验检测技术中心危险废物识别清单（2022年版）</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"https://pqsuhhq8yu6.feishu.cn/wiki/HjcawQu30imO4qkLONlcsdvknLb" \h </w:instrText>
      </w:r>
      <w:r>
        <w:fldChar w:fldCharType="separate"/>
      </w:r>
      <w:r>
        <w:rPr>
          <w:color w:val="000000" w:themeColor="text1"/>
          <w14:textFill>
            <w14:solidFill>
              <w14:schemeClr w14:val="tx1"/>
            </w14:solidFill>
          </w14:textFill>
        </w:rPr>
        <w:t xml:space="preserve">HJ 1276-2022 危险废物识别标志设置技术规范</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ZJZ/JL33-1</w:t>
      </w:r>
      <w:r>
        <w:rPr>
          <w:rFonts w:hint="eastAsia"/>
          <w:color w:val="000000" w:themeColor="text1"/>
          <w14:textFill>
            <w14:solidFill>
              <w14:schemeClr w14:val="tx1"/>
            </w14:solidFill>
          </w14:textFill>
        </w:rPr>
        <w:t xml:space="preserve">危险废物产生环节记录表</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"https://pqsuhhq8yu6.feishu.cn/wiki/XTXBw7R3Ci7uBNk2Yfzc898Nnqc" \h </w:instrText>
      </w:r>
      <w:r>
        <w:fldChar w:fldCharType="separate"/>
      </w:r>
      <w:r>
        <w:rPr>
          <w:color w:val="000000" w:themeColor="text1"/>
          <w14:textFill>
            <w14:solidFill>
              <w14:schemeClr w14:val="tx1"/>
            </w14:solidFill>
          </w14:textFill>
        </w:rPr>
        <w:t xml:space="preserve">ZJZ/JL33-2</w:t>
      </w:r>
      <w:r>
        <w:rPr>
          <w:rFonts w:hint="eastAsia"/>
          <w:color w:val="000000" w:themeColor="text1"/>
          <w14:textFill>
            <w14:solidFill>
              <w14:schemeClr w14:val="tx1"/>
            </w14:solidFill>
          </w14:textFill>
        </w:rPr>
        <w:t xml:space="preserve">危险废物入库环节记录表</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sectPr>
          <w:footnotePr/>
          <w:endnotePr/>
          <w:type w:val="nextPage"/>
          <w:pgSz w:h="16838" w:orient="portrait" w:w="11906"/>
          <w:pgMar w:top="1440" w:right="1800" w:bottom="1440" w:left="1800" w:header="851" w:footer="992" w:gutter="0"/>
          <w:cols w:num="1" w:sep="0" w:space="425" w:equalWidth="1"/>
        </w:sectPr>
      </w:pPr>
      <w:r>
        <w:fldChar w:fldCharType="begin"/>
      </w:r>
      <w:r>
        <w:instrText xml:space="preserve"> HYPERLINK "https://pqsuhhq8yu6.feishu.cn/wiki/JlxvwvbdLiQDmOkRudkccnzknfJ" \h </w:instrText>
      </w:r>
      <w:r>
        <w:fldChar w:fldCharType="separate"/>
      </w:r>
      <w:r>
        <w:rPr>
          <w:color w:val="000000" w:themeColor="text1"/>
          <w14:textFill>
            <w14:solidFill>
              <w14:schemeClr w14:val="tx1"/>
            </w14:solidFill>
          </w14:textFill>
        </w:rPr>
        <w:t xml:space="preserve">ZJZ/JL33-4</w:t>
      </w:r>
      <w:r>
        <w:rPr>
          <w:rFonts w:hint="eastAsia"/>
          <w:color w:val="000000" w:themeColor="text1"/>
          <w14:textFill>
            <w14:solidFill>
              <w14:schemeClr w14:val="tx1"/>
            </w14:solidFill>
          </w14:textFill>
        </w:rPr>
        <w:t xml:space="preserve">危险废物出库环节记录表</w:t>
      </w:r>
      <w:r>
        <w:rPr>
          <w:rFonts w:hint="eastAsia"/>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4"/>
        <w:pBdr/>
        <w:spacing/>
        <w:ind/>
        <w:rPr>
          <w:color w:val="000000" w:themeColor="text1"/>
          <w14:textFill>
            <w14:solidFill>
              <w14:schemeClr w14:val="tx1"/>
            </w14:solidFill>
          </w14:textFill>
        </w:rPr>
      </w:pPr>
      <w:r/>
      <w:bookmarkStart w:id="63" w:name="_Toc6677"/>
      <w:r>
        <w:rPr>
          <w:color w:val="000000" w:themeColor="text1"/>
          <w14:textFill>
            <w14:solidFill>
              <w14:schemeClr w14:val="tx1"/>
            </w14:solidFill>
          </w14:textFill>
        </w:rPr>
        <w:t xml:space="preserve">ZJZ/CX-34 管理变更控制程序</w:t>
      </w:r>
      <w:bookmarkEnd w:id="63"/>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1. 目的</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为了避免质量检测站因名称、地址、法人性质和主要管理者发生永久性或暂时性的变化造成对质量检测站质量管理体系产生不利影响和风险，特制定本程序。</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2. 适用范围</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本程序适用于本质量检测站名称、地址、法人性质和主要管理者发生变更时。</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 职责</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3.1质量负责人：负责向资质认定部门申请办理变更手续。</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 程序内容</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本程序引用记录表格为国家认证认可监督管理委员会所发布的最新有效版本记录表格。</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4.1 当质量检测站名称发生变更时，质量负责人填写国家认证认可监督管理委员会编制的</w:t>
      </w:r>
      <w:r>
        <w:fldChar w:fldCharType="begin"/>
      </w:r>
      <w:r>
        <w:instrText xml:space="preserve"> HYPERLINK "https://pqsuhhq8yu6.feishu.cn/wiki/QsU5wvLyziVCdMkVxCJcISznnwn" \h </w:instrText>
      </w:r>
      <w:r>
        <w:fldChar w:fldCharType="separate"/>
      </w:r>
      <w:r>
        <w:rPr>
          <w:color w:val="000000" w:themeColor="text1"/>
          <w14:textFill>
            <w14:solidFill>
              <w14:schemeClr w14:val="tx1"/>
            </w14:solidFill>
          </w14:textFill>
        </w:rPr>
        <w:t xml:space="preserve">检验检测机构资质认定名称变更审批表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，并上报国家认证认可监督管理委员会审批，自上报日起到审批之日期间，实验室认证范围内一切检测报告禁止加盖CMA章。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4.2 当质量检测站地址发生变更时，质量负责人提前3个月填写国家认证认可监督管理委员会编制的</w:t>
      </w:r>
      <w:r>
        <w:fldChar w:fldCharType="begin"/>
      </w:r>
      <w:r>
        <w:instrText xml:space="preserve"> HYPERLINK "https://pqsuhhq8yu6.feishu.cn/wiki/XAX8wkl3uigwsfk8DxCcoiJtn7d" \h </w:instrText>
      </w:r>
      <w:r>
        <w:fldChar w:fldCharType="separate"/>
      </w:r>
      <w:r>
        <w:rPr>
          <w:color w:val="000000" w:themeColor="text1"/>
          <w14:textFill>
            <w14:solidFill>
              <w14:schemeClr w14:val="tx1"/>
            </w14:solidFill>
          </w14:textFill>
        </w:rPr>
        <w:t xml:space="preserve">检验检测机构资质认定申请书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，并上报国家认证认可监督管理委员会，等待国家认证认可监督管理委员会委派评审组进行复查评审，发生地址变更日起，认证范围内一切检测报告停止加盖CMA章。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4.3 法定代表人、最高管理者、技术负责人、检验/检测报告授权签字人发生变更时，质量负责人填写国家认证认可监督管理委员会编制的</w:t>
      </w:r>
      <w:r>
        <w:fldChar w:fldCharType="begin"/>
      </w:r>
      <w:r>
        <w:instrText xml:space="preserve"> HYPERLINK "https://pqsuhhq8yu6.feishu.cn/wiki/QTFjwiEfbiou18kI39PcDDddnPh" \h </w:instrText>
      </w:r>
      <w:r>
        <w:fldChar w:fldCharType="separate"/>
      </w:r>
      <w:r>
        <w:rPr>
          <w:color w:val="000000" w:themeColor="text1"/>
          <w14:textFill>
            <w14:solidFill>
              <w14:schemeClr w14:val="tx1"/>
            </w14:solidFill>
          </w14:textFill>
        </w:rPr>
        <w:t xml:space="preserve">检验检测机构资质认定人员变更备案表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，并上报国家认证认可监督管理委员会备案。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4.4 资质认定检测项目取消时，质量负责人填写国家认证认可监督管理委员会编制的</w:t>
      </w:r>
      <w:r>
        <w:fldChar w:fldCharType="begin"/>
      </w:r>
      <w:r>
        <w:instrText xml:space="preserve"> HYPERLINK "https://pqsuhhq8yu6.feishu.cn/wiki/W7u1w8cV0iTN02kcyQtcySKxnPh" \h </w:instrText>
      </w:r>
      <w:r>
        <w:fldChar w:fldCharType="separate"/>
      </w:r>
      <w:r>
        <w:rPr>
          <w:color w:val="000000" w:themeColor="text1"/>
          <w14:textFill>
            <w14:solidFill>
              <w14:schemeClr w14:val="tx1"/>
            </w14:solidFill>
          </w14:textFill>
        </w:rPr>
        <w:t xml:space="preserve">检验检测机构资质认定取消检验检测能力审批表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，并上报国家认证认可监督管理委员会备案。</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4.5 检验/检测标准或者检验/检测方法发生变更时，质量负责人填写国家认证认可监督管理委员会编制的</w:t>
      </w:r>
      <w:r>
        <w:fldChar w:fldCharType="begin"/>
      </w:r>
      <w:r>
        <w:instrText xml:space="preserve"> HYPERLINK "https://pqsuhhq8yu6.feishu.cn/wiki/WNrbw91J9iueGYkGjascIo91nXd" \h </w:instrText>
      </w:r>
      <w:r>
        <w:fldChar w:fldCharType="separate"/>
      </w:r>
      <w:r>
        <w:rPr>
          <w:color w:val="000000" w:themeColor="text1"/>
          <w14:textFill>
            <w14:solidFill>
              <w14:schemeClr w14:val="tx1"/>
            </w14:solidFill>
          </w14:textFill>
        </w:rPr>
        <w:t xml:space="preserve">检验检测机构资质认定标准（方法）变更审批表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，并上报国家认证认可监督管理委员会审批，自上报日起到审批批注日期间，该项目检测工作禁止加盖CMA章。</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4.6 依法需要办理变更的其他事项时，质量负责人填写国家认证认可监督管理委员会编制的相应表格，并上报国家认证认可监督管理委员会审批或备案。</w:t>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5. 支持文件</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"https://pqsuhhq8yu6.feishu.cn/wiki/N0d2wUb8qiJMlkk0oAYcJoGxnRb" \h </w:instrText>
      </w:r>
      <w:r>
        <w:fldChar w:fldCharType="separate"/>
      </w:r>
      <w:r>
        <w:rPr>
          <w:color w:val="000000" w:themeColor="text1"/>
          <w14:textFill>
            <w14:solidFill>
              <w14:schemeClr w14:val="tx1"/>
            </w14:solidFill>
          </w14:textFill>
        </w:rPr>
        <w:t xml:space="preserve">RB/T 214-2017 检验检测机构资质认定能力评价 检验检测机构通用要求</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"https://pqsuhhq8yu6.feishu.cn/wiki/TVUWwo6LziUuK0kKnk0cX2Nznsf" \h </w:instrText>
      </w:r>
      <w:r>
        <w:fldChar w:fldCharType="separate"/>
      </w:r>
      <w:r>
        <w:rPr>
          <w:color w:val="000000" w:themeColor="text1"/>
          <w14:textFill>
            <w14:solidFill>
              <w14:schemeClr w14:val="tx1"/>
            </w14:solidFill>
          </w14:textFill>
        </w:rPr>
        <w:t xml:space="preserve">检验检测机构资质认定评审准则</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Style w:val="1985"/>
        <w:pBdr/>
        <w:spacing/>
        <w:ind/>
        <w:rPr>
          <w:color w:val="000000" w:themeColor="text1"/>
          <w14:textFill>
            <w14:solidFill>
              <w14:schemeClr w14:val="tx1"/>
            </w14:solidFill>
          </w14:textFill>
        </w:rPr>
      </w:pPr>
      <w:r>
        <w:rPr>
          <w:color w:val="000000" w:themeColor="text1"/>
          <w14:textFill>
            <w14:solidFill>
              <w14:schemeClr w14:val="tx1"/>
            </w14:solidFill>
          </w14:textFill>
        </w:rPr>
        <w:t xml:space="preserve">6. 记录</w:t>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"https://pqsuhhq8yu6.feishu.cn/wiki/XAX8wkl3uigwsfk8DxCcoiJtn7d" \h </w:instrText>
      </w:r>
      <w:r>
        <w:fldChar w:fldCharType="separate"/>
      </w:r>
      <w:r>
        <w:rPr>
          <w:color w:val="000000" w:themeColor="text1"/>
          <w14:textFill>
            <w14:solidFill>
              <w14:schemeClr w14:val="tx1"/>
            </w14:solidFill>
          </w14:textFill>
        </w:rPr>
        <w:t xml:space="preserve">检验检测机构资质认定申请书</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"https://pqsuhhq8yu6.feishu.cn/wiki/QsU5wvLyziVCdMkVxCJcISznnwn" \h </w:instrText>
      </w:r>
      <w:r>
        <w:fldChar w:fldCharType="separate"/>
      </w:r>
      <w:r>
        <w:rPr>
          <w:color w:val="000000" w:themeColor="text1"/>
          <w14:textFill>
            <w14:solidFill>
              <w14:schemeClr w14:val="tx1"/>
            </w14:solidFill>
          </w14:textFill>
        </w:rPr>
        <w:t xml:space="preserve">检验检测机构资质认定名称变更审批表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"https://pqsuhhq8yu6.feishu.cn/wiki/WNrbw91J9iueGYkGjascIo91nXd" \h </w:instrText>
      </w:r>
      <w:r>
        <w:fldChar w:fldCharType="separate"/>
      </w:r>
      <w:r>
        <w:rPr>
          <w:color w:val="000000" w:themeColor="text1"/>
          <w14:textFill>
            <w14:solidFill>
              <w14:schemeClr w14:val="tx1"/>
            </w14:solidFill>
          </w14:textFill>
        </w:rPr>
        <w:t xml:space="preserve">检验检测机构资质认定标准（方法）变更审批表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"https://pqsuhhq8yu6.feishu.cn/wiki/W7u1w8cV0iTN02kcyQtcySKxnPh" \h </w:instrText>
      </w:r>
      <w:r>
        <w:fldChar w:fldCharType="separate"/>
      </w:r>
      <w:r>
        <w:rPr>
          <w:color w:val="000000" w:themeColor="text1"/>
          <w14:textFill>
            <w14:solidFill>
              <w14:schemeClr w14:val="tx1"/>
            </w14:solidFill>
          </w14:textFill>
        </w:rPr>
        <w:t xml:space="preserve">检验检测机构资质认定取消检验检测能力审批表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fldChar w:fldCharType="begin"/>
      </w:r>
      <w:r>
        <w:instrText xml:space="preserve"> HYPERLINK "https://pqsuhhq8yu6.feishu.cn/wiki/QTFjwiEfbiou18kI39PcDDddnPh" \h </w:instrText>
      </w:r>
      <w:r>
        <w:fldChar w:fldCharType="separate"/>
      </w:r>
      <w:r>
        <w:rPr>
          <w:color w:val="000000" w:themeColor="text1"/>
          <w14:textFill>
            <w14:solidFill>
              <w14:schemeClr w14:val="tx1"/>
            </w14:solidFill>
          </w14:textFill>
        </w:rPr>
        <w:t xml:space="preserve">检验检测机构资质认定人员变更备案表</w:t>
      </w:r>
      <w:r>
        <w:rPr>
          <w:color w:val="000000" w:themeColor="text1"/>
          <w14:textFill>
            <w14:solidFill>
              <w14:schemeClr w14:val="tx1"/>
            </w14:solidFill>
          </w14:textFill>
        </w:rPr>
        <w:fldChar w:fldCharType="end"/>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p>
      <w:pPr>
        <w:pBdr/>
        <w:spacing/>
        <w:ind/>
        <w:rPr>
          <w:color w:val="000000" w:themeColor="text1"/>
          <w14:textFill>
            <w14:solidFill>
              <w14:schemeClr w14:val="tx1"/>
            </w14:solidFill>
          </w14:textFill>
        </w:rPr>
      </w:pPr>
      <w:r>
        <w:rPr>
          <w:color w:val="000000" w:themeColor="text1"/>
          <w14:textFill>
            <w14:solidFill>
              <w14:schemeClr w14:val="tx1"/>
            </w14:solidFill>
          </w14:textFill>
        </w:rPr>
      </w:r>
      <w:r>
        <w:rPr>
          <w:color w:val="000000" w:themeColor="text1"/>
          <w14:textFill>
            <w14:solidFill>
              <w14:schemeClr w14:val="tx1"/>
            </w14:solidFill>
          </w14:textFill>
        </w:rPr>
      </w:r>
    </w:p>
    <w:sectPr>
      <w:footnotePr/>
      <w:endnotePr/>
      <w:type w:val="nextPage"/>
      <w:pgSz w:h="16838" w:orient="portrait" w:w="11906"/>
      <w:pgMar w:top="1440" w:right="1800" w:bottom="1440" w:left="1800" w:header="851" w:footer="992" w:gutter="0"/>
      <w:cols w:num="1" w:sep="0" w:space="425"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line="240" w:lineRule="auto"/>
        <w:ind/>
        <w:rPr/>
      </w:pPr>
      <w:r>
        <w:separator/>
      </w:r>
      <w:r/>
    </w:p>
  </w:endnote>
  <w:endnote w:type="continuationSeparator" w:id="0">
    <w:p>
      <w:pPr>
        <w:pBdr/>
        <w:spacing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20603020101020101"/>
  </w:font>
  <w:font w:name="宋体">
    <w:panose1 w:val="02020603020101020101"/>
  </w:font>
  <w:font w:name="Times New Roman">
    <w:panose1 w:val="02020603050405020304"/>
  </w:font>
  <w:font w:name="Arial">
    <w:panose1 w:val="020B0604020202020204"/>
  </w:font>
  <w:font w:name="等线">
    <w:panose1 w:val="020B0603030804020204"/>
  </w:font>
  <w:font w:name="Cambria Math">
    <w:panose1 w:val="02000603000000000000"/>
  </w:font>
  <w:font w:name="minorBidi">
    <w:panose1 w:val="020B0603030804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990"/>
      <w:pBdr/>
      <w:spacing/>
      <w:ind w:firstLine="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990"/>
      <w:pBdr/>
      <w:spacing/>
      <w:ind w:firstLine="360"/>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990"/>
      <w:pBdr/>
      <w:spacing/>
      <w:ind w:firstLine="360"/>
      <w:rPr/>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7"/>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90"/>
                            <w:pBdr/>
                            <w:spacing/>
                            <w:ind w:firstLine="360"/>
                            <w:rPr/>
                          </w:pPr>
                          <w:r>
                            <w:fldChar w:fldCharType="begin"/>
                          </w:r>
                          <w:r>
                            <w:instrText xml:space="preserve"> PAGE  \* MERGEFORMAT </w:instrText>
                          </w:r>
                          <w:r>
                            <w:fldChar w:fldCharType="separate"/>
                          </w:r>
                          <w:r>
                            <w:t xml:space="preserve">1</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0" o:spid="_x0000_s0" o:spt="202" type="#_x0000_t202" style="position:absolute;z-index:251661312;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p>
                    <w:pPr>
                      <w:pStyle w:val="1990"/>
                      <w:pBdr/>
                      <w:spacing/>
                      <w:ind w:firstLine="360"/>
                      <w:rPr/>
                    </w:pPr>
                    <w:r>
                      <w:fldChar w:fldCharType="begin"/>
                    </w:r>
                    <w:r>
                      <w:instrText xml:space="preserve"> PAGE  \* MERGEFORMAT </w:instrText>
                    </w:r>
                    <w:r>
                      <w:fldChar w:fldCharType="separate"/>
                    </w:r>
                    <w:r>
                      <w:t xml:space="preserve">1</w:t>
                    </w:r>
                    <w:r>
                      <w:fldChar w:fldCharType="end"/>
                    </w:r>
                    <w:r/>
                  </w:p>
                </w:txbxContent>
              </v:textbox>
            </v:shape>
          </w:pict>
        </mc:Fallback>
      </mc:AlternateContent>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6"/>
              <wp:cNvGraphicFramePr/>
              <a:graphic xmlns:a="http://schemas.openxmlformats.org/drawingml/2006/main">
                <a:graphicData uri="http://schemas.microsoft.com/office/word/2010/wordprocessingShape">
                  <wps:wsp>
                    <wps:cNvPr id="0" name=""/>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90"/>
                            <w:pBdr/>
                            <w:spacing/>
                            <w:ind w:firstLine="360"/>
                            <w:rPr/>
                          </w:pPr>
                          <w:r>
                            <w:fldChar w:fldCharType="begin"/>
                          </w:r>
                          <w:r>
                            <w:instrText xml:space="preserve"> PAGE  \* MERGEFORMAT </w:instrText>
                          </w:r>
                          <w:r>
                            <w:fldChar w:fldCharType="separate"/>
                          </w:r>
                          <w:r>
                            <w:t xml:space="preserve">17</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1" o:spid="_x0000_s1" o:spt="202" type="#_x0000_t202" style="position:absolute;z-index:251660288;o:allowoverlap:true;o:allowincell:true;mso-position-horizontal-relative:margin;mso-position-horizontal:center;mso-position-vertical-relative:text;margin-top:0.00pt;mso-position-vertical:absolute;width:144.00pt;height:144.00pt;mso-wrap-distance-left:9.00pt;mso-wrap-distance-top:0.00pt;mso-wrap-distance-right:9.00pt;mso-wrap-distance-bottom:0.00pt;v-text-anchor:top;visibility:visible;" filled="f" stroked="f" strokeweight="0.50pt">
              <v:textbox inset="0,0,0,0">
                <w:txbxContent>
                  <w:p>
                    <w:pPr>
                      <w:pStyle w:val="1990"/>
                      <w:pBdr/>
                      <w:spacing/>
                      <w:ind w:firstLine="360"/>
                      <w:rPr/>
                    </w:pPr>
                    <w:r>
                      <w:fldChar w:fldCharType="begin"/>
                    </w:r>
                    <w:r>
                      <w:instrText xml:space="preserve"> PAGE  \* MERGEFORMAT </w:instrText>
                    </w:r>
                    <w:r>
                      <w:fldChar w:fldCharType="separate"/>
                    </w:r>
                    <w:r>
                      <w:t xml:space="preserve">17</w:t>
                    </w:r>
                    <w:r>
                      <w:fldChar w:fldCharType="end"/>
                    </w:r>
                    <w:r/>
                  </w:p>
                </w:txbxContent>
              </v:textbox>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before="0" w:line="288" w:lineRule="auto"/>
        <w:ind/>
        <w:rPr/>
      </w:pPr>
      <w:r>
        <w:separator/>
      </w:r>
      <w:r/>
    </w:p>
  </w:footnote>
  <w:footnote w:type="continuationSeparator" w:id="0">
    <w:p>
      <w:pPr>
        <w:pBdr/>
        <w:spacing w:after="0" w:before="0" w:line="288"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991"/>
      <w:pBdr>
        <w:bottom w:val="none" w:color="000000" w:sz="0" w:space="1"/>
      </w:pBdr>
      <w:spacing/>
      <w:ind w:firstLine="360"/>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991"/>
      <w:pBdr/>
      <w:spacing/>
      <w:ind w:firstLine="360"/>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991"/>
      <w:pBdr/>
      <w:spacing/>
      <w:ind w:firstLine="360"/>
      <w:rPr/>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6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7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3">
    <w:lvl w:ilvl="0">
      <w:isLgl w:val="false"/>
      <w:lvlJc w:val="left"/>
      <w:lvlText w:val="%1."/>
      <w:numFmt w:val="decimal"/>
      <w:pPr>
        <w:pBdr/>
        <w:spacing/>
        <w:ind/>
      </w:pPr>
      <w:rPr>
        <w:color w:val="3370ff"/>
      </w:rPr>
      <w:start w:val="2"/>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8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9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3">
    <w:lvl w:ilvl="0">
      <w:isLgl w:val="false"/>
      <w:lvlJc w:val="left"/>
      <w:lvlText w:val="%1."/>
      <w:numFmt w:val="decimal"/>
      <w:pPr>
        <w:pBdr/>
        <w:spacing/>
        <w:ind/>
      </w:pPr>
      <w:rPr>
        <w:color w:val="3370ff"/>
      </w:rPr>
      <w:start w:val="3"/>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0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1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2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3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4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5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6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7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8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19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0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1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2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3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4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5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6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7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8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29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0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1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2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3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4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5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6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7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8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39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0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1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2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0">
    <w:lvl w:ilvl="0">
      <w:isLgl w:val="false"/>
      <w:lvlJc w:val="left"/>
      <w:lvlText w:val="%1."/>
      <w:numFmt w:val="decimal"/>
      <w:pPr>
        <w:pBdr/>
        <w:spacing/>
        <w:ind/>
      </w:pPr>
      <w:rPr>
        <w:color w:val="3370ff"/>
      </w:rPr>
      <w:start w:val="4"/>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5">
    <w:lvl w:ilvl="0">
      <w:isLgl w:val="false"/>
      <w:lvlJc w:val="left"/>
      <w:lvlText w:val="%1."/>
      <w:numFmt w:val="lowerLetter"/>
      <w:pPr>
        <w:pBdr/>
        <w:spacing/>
        <w:ind/>
      </w:pPr>
      <w:rPr>
        <w:color w:val="3370ff"/>
      </w:rPr>
      <w:start w:val="1"/>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7">
    <w:lvl w:ilvl="0">
      <w:isLgl w:val="false"/>
      <w:lvlJc w:val="left"/>
      <w:lvlText w:val="%1."/>
      <w:numFmt w:val="lowerLetter"/>
      <w:pPr>
        <w:pBdr/>
        <w:spacing/>
        <w:ind/>
      </w:pPr>
      <w:rPr>
        <w:color w:val="3370ff"/>
      </w:rPr>
      <w:start w:val="4"/>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3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4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5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6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7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8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49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0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1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3">
    <w:lvl w:ilvl="0">
      <w:isLgl w:val="false"/>
      <w:lvlJc w:val="left"/>
      <w:lvlText w:val="￮"/>
      <w:numFmt w:val="bullet"/>
      <w:pPr>
        <w:pBdr/>
        <w:spacing/>
        <w:ind/>
      </w:pPr>
      <w:rPr>
        <w:color w:val="3370ff"/>
        <w:lang w:val="en-US"/>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2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3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3">
    <w:lvl w:ilvl="0">
      <w:isLgl w:val="false"/>
      <w:lvlJc w:val="left"/>
      <w:lvlText w:val="%1."/>
      <w:numFmt w:val="lowerLetter"/>
      <w:pPr>
        <w:pBdr/>
        <w:spacing/>
        <w:ind/>
      </w:pPr>
      <w:rPr>
        <w:color w:val="3370ff"/>
      </w:rPr>
      <w:start w:val="2"/>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4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1">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3">
    <w:lvl w:ilvl="0">
      <w:isLgl w:val="false"/>
      <w:lvlJc w:val="left"/>
      <w:lvlText w:val="%1."/>
      <w:numFmt w:val="decimal"/>
      <w:pPr>
        <w:pBdr/>
        <w:spacing/>
        <w:ind/>
      </w:pPr>
      <w:rPr>
        <w:color w:val="3370ff"/>
      </w:rPr>
      <w:start w:val="1"/>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8">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59">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0">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1">
    <w:lvl w:ilvl="0">
      <w:isLgl w:val="false"/>
      <w:lvlJc w:val="left"/>
      <w:lvlText w:val="%1."/>
      <w:numFmt w:val="lowerLetter"/>
      <w:pPr>
        <w:pBdr/>
        <w:spacing/>
        <w:ind/>
      </w:pPr>
      <w:rPr>
        <w:color w:val="3370ff"/>
      </w:rPr>
      <w:start w:val="3"/>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2">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3">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4">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5">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6">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abstractNum w:abstractNumId="567">
    <w:lvl w:ilvl="0">
      <w:isLgl w:val="false"/>
      <w:lvlJc w:val="left"/>
      <w:lvlText w:val="•"/>
      <w:numFmt w:val="bullet"/>
      <w:pPr>
        <w:pBdr/>
        <w:spacing/>
        <w:ind/>
      </w:pPr>
      <w:rPr>
        <w:color w:val="3370ff"/>
      </w:rPr>
      <w:start w:val="0"/>
      <w:suff w:val="tab"/>
    </w:lvl>
    <w:lvl w:ilvl="1">
      <w:isLgl w:val="false"/>
      <w:lvlJc w:val="left"/>
      <w:lvlText/>
      <w:numFmt w:val="decimal"/>
      <w:pPr>
        <w:pBdr/>
        <w:spacing/>
        <w:ind/>
      </w:pPr>
      <w:rPr/>
      <w:start w:val="0"/>
      <w:suff w:val="tab"/>
    </w:lvl>
    <w:lvl w:ilvl="2">
      <w:isLgl w:val="false"/>
      <w:lvlJc w:val="left"/>
      <w:lvlText/>
      <w:numFmt w:val="decimal"/>
      <w:pPr>
        <w:pBdr/>
        <w:spacing/>
        <w:ind/>
      </w:pPr>
      <w:rPr/>
      <w:start w:val="0"/>
      <w:suff w:val="tab"/>
    </w:lvl>
    <w:lvl w:ilvl="3">
      <w:isLgl w:val="false"/>
      <w:lvlJc w:val="left"/>
      <w:lvlText/>
      <w:numFmt w:val="decimal"/>
      <w:pPr>
        <w:pBdr/>
        <w:spacing/>
        <w:ind/>
      </w:pPr>
      <w:rPr/>
      <w:start w:val="0"/>
      <w:suff w:val="tab"/>
    </w:lvl>
    <w:lvl w:ilvl="4">
      <w:isLgl w:val="false"/>
      <w:lvlJc w:val="left"/>
      <w:lvlText/>
      <w:numFmt w:val="decimal"/>
      <w:pPr>
        <w:pBdr/>
        <w:spacing/>
        <w:ind/>
      </w:pPr>
      <w:rPr/>
      <w:start w:val="0"/>
      <w:suff w:val="tab"/>
    </w:lvl>
    <w:lvl w:ilvl="5">
      <w:isLgl w:val="false"/>
      <w:lvlJc w:val="left"/>
      <w:lvlText/>
      <w:numFmt w:val="decimal"/>
      <w:pPr>
        <w:pBdr/>
        <w:spacing/>
        <w:ind/>
      </w:pPr>
      <w:rPr/>
      <w:start w:val="0"/>
      <w:suff w:val="tab"/>
    </w:lvl>
    <w:lvl w:ilvl="6">
      <w:isLgl w:val="false"/>
      <w:lvlJc w:val="left"/>
      <w:lvlText/>
      <w:numFmt w:val="decimal"/>
      <w:pPr>
        <w:pBdr/>
        <w:spacing/>
        <w:ind/>
      </w:pPr>
      <w:rPr/>
      <w:start w:val="0"/>
      <w:suff w:val="tab"/>
    </w:lvl>
    <w:lvl w:ilvl="7">
      <w:isLgl w:val="false"/>
      <w:lvlJc w:val="left"/>
      <w:lvlText/>
      <w:numFmt w:val="decimal"/>
      <w:pPr>
        <w:pBdr/>
        <w:spacing/>
        <w:ind/>
      </w:pPr>
      <w:rPr/>
      <w:start w:val="0"/>
      <w:suff w:val="tab"/>
    </w:lvl>
    <w:lvl w:ilvl="8">
      <w:isLgl w:val="false"/>
      <w:lvlJc w:val="left"/>
      <w:lvlText/>
      <w:numFmt w:val="decimal"/>
      <w:pPr>
        <w:pBdr/>
        <w:spacing/>
        <w:ind/>
      </w:pPr>
      <w:rPr/>
      <w:start w:val="0"/>
      <w:suff w:val="tab"/>
    </w:lvl>
  </w:abstractNum>
  <w:num w:numId="1">
    <w:abstractNumId w:val="400"/>
  </w:num>
  <w:num w:numId="2">
    <w:abstractNumId w:val="413"/>
  </w:num>
  <w:num w:numId="3">
    <w:abstractNumId w:val="403"/>
  </w:num>
  <w:num w:numId="4">
    <w:abstractNumId w:val="246"/>
  </w:num>
  <w:num w:numId="5">
    <w:abstractNumId w:val="22"/>
  </w:num>
  <w:num w:numId="6">
    <w:abstractNumId w:val="424"/>
  </w:num>
  <w:num w:numId="7">
    <w:abstractNumId w:val="40"/>
  </w:num>
  <w:num w:numId="8">
    <w:abstractNumId w:val="552"/>
  </w:num>
  <w:num w:numId="9">
    <w:abstractNumId w:val="30"/>
  </w:num>
  <w:num w:numId="10">
    <w:abstractNumId w:val="223"/>
  </w:num>
  <w:num w:numId="11">
    <w:abstractNumId w:val="123"/>
  </w:num>
  <w:num w:numId="12">
    <w:abstractNumId w:val="120"/>
  </w:num>
  <w:num w:numId="13">
    <w:abstractNumId w:val="135"/>
  </w:num>
  <w:num w:numId="14">
    <w:abstractNumId w:val="418"/>
  </w:num>
  <w:num w:numId="15">
    <w:abstractNumId w:val="325"/>
  </w:num>
  <w:num w:numId="16">
    <w:abstractNumId w:val="282"/>
  </w:num>
  <w:num w:numId="17">
    <w:abstractNumId w:val="359"/>
  </w:num>
  <w:num w:numId="18">
    <w:abstractNumId w:val="154"/>
  </w:num>
  <w:num w:numId="19">
    <w:abstractNumId w:val="533"/>
  </w:num>
  <w:num w:numId="20">
    <w:abstractNumId w:val="508"/>
  </w:num>
  <w:num w:numId="21">
    <w:abstractNumId w:val="59"/>
  </w:num>
  <w:num w:numId="22">
    <w:abstractNumId w:val="421"/>
  </w:num>
  <w:num w:numId="23">
    <w:abstractNumId w:val="229"/>
  </w:num>
  <w:num w:numId="24">
    <w:abstractNumId w:val="86"/>
  </w:num>
  <w:num w:numId="25">
    <w:abstractNumId w:val="51"/>
  </w:num>
  <w:num w:numId="26">
    <w:abstractNumId w:val="393"/>
  </w:num>
  <w:num w:numId="27">
    <w:abstractNumId w:val="494"/>
  </w:num>
  <w:num w:numId="28">
    <w:abstractNumId w:val="511"/>
  </w:num>
  <w:num w:numId="29">
    <w:abstractNumId w:val="445"/>
  </w:num>
  <w:num w:numId="30">
    <w:abstractNumId w:val="185"/>
  </w:num>
  <w:num w:numId="31">
    <w:abstractNumId w:val="319"/>
  </w:num>
  <w:num w:numId="32">
    <w:abstractNumId w:val="18"/>
  </w:num>
  <w:num w:numId="33">
    <w:abstractNumId w:val="487"/>
  </w:num>
  <w:num w:numId="34">
    <w:abstractNumId w:val="95"/>
  </w:num>
  <w:num w:numId="35">
    <w:abstractNumId w:val="278"/>
  </w:num>
  <w:num w:numId="36">
    <w:abstractNumId w:val="464"/>
  </w:num>
  <w:num w:numId="37">
    <w:abstractNumId w:val="498"/>
  </w:num>
  <w:num w:numId="38">
    <w:abstractNumId w:val="235"/>
  </w:num>
  <w:num w:numId="39">
    <w:abstractNumId w:val="130"/>
  </w:num>
  <w:num w:numId="40">
    <w:abstractNumId w:val="364"/>
  </w:num>
  <w:num w:numId="41">
    <w:abstractNumId w:val="378"/>
  </w:num>
  <w:num w:numId="42">
    <w:abstractNumId w:val="381"/>
  </w:num>
  <w:num w:numId="43">
    <w:abstractNumId w:val="318"/>
  </w:num>
  <w:num w:numId="44">
    <w:abstractNumId w:val="57"/>
  </w:num>
  <w:num w:numId="45">
    <w:abstractNumId w:val="136"/>
  </w:num>
  <w:num w:numId="46">
    <w:abstractNumId w:val="241"/>
  </w:num>
  <w:num w:numId="47">
    <w:abstractNumId w:val="479"/>
  </w:num>
  <w:num w:numId="48">
    <w:abstractNumId w:val="56"/>
  </w:num>
  <w:num w:numId="49">
    <w:abstractNumId w:val="490"/>
  </w:num>
  <w:num w:numId="50">
    <w:abstractNumId w:val="517"/>
  </w:num>
  <w:num w:numId="51">
    <w:abstractNumId w:val="263"/>
  </w:num>
  <w:num w:numId="52">
    <w:abstractNumId w:val="363"/>
  </w:num>
  <w:num w:numId="53">
    <w:abstractNumId w:val="306"/>
  </w:num>
  <w:num w:numId="54">
    <w:abstractNumId w:val="367"/>
  </w:num>
  <w:num w:numId="55">
    <w:abstractNumId w:val="127"/>
  </w:num>
  <w:num w:numId="56">
    <w:abstractNumId w:val="61"/>
  </w:num>
  <w:num w:numId="57">
    <w:abstractNumId w:val="529"/>
  </w:num>
  <w:num w:numId="58">
    <w:abstractNumId w:val="199"/>
  </w:num>
  <w:num w:numId="59">
    <w:abstractNumId w:val="131"/>
  </w:num>
  <w:num w:numId="60">
    <w:abstractNumId w:val="92"/>
  </w:num>
  <w:num w:numId="61">
    <w:abstractNumId w:val="169"/>
  </w:num>
  <w:num w:numId="62">
    <w:abstractNumId w:val="248"/>
  </w:num>
  <w:num w:numId="63">
    <w:abstractNumId w:val="299"/>
  </w:num>
  <w:num w:numId="64">
    <w:abstractNumId w:val="79"/>
  </w:num>
  <w:num w:numId="65">
    <w:abstractNumId w:val="448"/>
  </w:num>
  <w:num w:numId="66">
    <w:abstractNumId w:val="240"/>
  </w:num>
  <w:num w:numId="67">
    <w:abstractNumId w:val="332"/>
  </w:num>
  <w:num w:numId="68">
    <w:abstractNumId w:val="279"/>
  </w:num>
  <w:num w:numId="69">
    <w:abstractNumId w:val="338"/>
  </w:num>
  <w:num w:numId="70">
    <w:abstractNumId w:val="171"/>
  </w:num>
  <w:num w:numId="71">
    <w:abstractNumId w:val="290"/>
  </w:num>
  <w:num w:numId="72">
    <w:abstractNumId w:val="528"/>
  </w:num>
  <w:num w:numId="73">
    <w:abstractNumId w:val="457"/>
  </w:num>
  <w:num w:numId="74">
    <w:abstractNumId w:val="214"/>
  </w:num>
  <w:num w:numId="75">
    <w:abstractNumId w:val="29"/>
  </w:num>
  <w:num w:numId="76">
    <w:abstractNumId w:val="467"/>
  </w:num>
  <w:num w:numId="77">
    <w:abstractNumId w:val="303"/>
  </w:num>
  <w:num w:numId="78">
    <w:abstractNumId w:val="347"/>
  </w:num>
  <w:num w:numId="79">
    <w:abstractNumId w:val="474"/>
  </w:num>
  <w:num w:numId="80">
    <w:abstractNumId w:val="5"/>
  </w:num>
  <w:num w:numId="81">
    <w:abstractNumId w:val="563"/>
  </w:num>
  <w:num w:numId="82">
    <w:abstractNumId w:val="208"/>
  </w:num>
  <w:num w:numId="83">
    <w:abstractNumId w:val="346"/>
  </w:num>
  <w:num w:numId="84">
    <w:abstractNumId w:val="548"/>
  </w:num>
  <w:num w:numId="85">
    <w:abstractNumId w:val="253"/>
  </w:num>
  <w:num w:numId="86">
    <w:abstractNumId w:val="388"/>
  </w:num>
  <w:num w:numId="87">
    <w:abstractNumId w:val="522"/>
  </w:num>
  <w:num w:numId="88">
    <w:abstractNumId w:val="106"/>
  </w:num>
  <w:num w:numId="89">
    <w:abstractNumId w:val="327"/>
  </w:num>
  <w:num w:numId="90">
    <w:abstractNumId w:val="206"/>
  </w:num>
  <w:num w:numId="91">
    <w:abstractNumId w:val="407"/>
  </w:num>
  <w:num w:numId="92">
    <w:abstractNumId w:val="466"/>
  </w:num>
  <w:num w:numId="93">
    <w:abstractNumId w:val="271"/>
  </w:num>
  <w:num w:numId="94">
    <w:abstractNumId w:val="167"/>
  </w:num>
  <w:num w:numId="95">
    <w:abstractNumId w:val="101"/>
  </w:num>
  <w:num w:numId="96">
    <w:abstractNumId w:val="456"/>
  </w:num>
  <w:num w:numId="97">
    <w:abstractNumId w:val="488"/>
  </w:num>
  <w:num w:numId="98">
    <w:abstractNumId w:val="38"/>
  </w:num>
  <w:num w:numId="99">
    <w:abstractNumId w:val="85"/>
  </w:num>
  <w:num w:numId="100">
    <w:abstractNumId w:val="88"/>
  </w:num>
  <w:num w:numId="101">
    <w:abstractNumId w:val="343"/>
  </w:num>
  <w:num w:numId="102">
    <w:abstractNumId w:val="402"/>
  </w:num>
  <w:num w:numId="103">
    <w:abstractNumId w:val="17"/>
  </w:num>
  <w:num w:numId="104">
    <w:abstractNumId w:val="247"/>
  </w:num>
  <w:num w:numId="105">
    <w:abstractNumId w:val="349"/>
  </w:num>
  <w:num w:numId="106">
    <w:abstractNumId w:val="468"/>
  </w:num>
  <w:num w:numId="107">
    <w:abstractNumId w:val="362"/>
  </w:num>
  <w:num w:numId="108">
    <w:abstractNumId w:val="73"/>
  </w:num>
  <w:num w:numId="109">
    <w:abstractNumId w:val="156"/>
  </w:num>
  <w:num w:numId="110">
    <w:abstractNumId w:val="260"/>
  </w:num>
  <w:num w:numId="111">
    <w:abstractNumId w:val="181"/>
  </w:num>
  <w:num w:numId="112">
    <w:abstractNumId w:val="370"/>
  </w:num>
  <w:num w:numId="113">
    <w:abstractNumId w:val="162"/>
  </w:num>
  <w:num w:numId="114">
    <w:abstractNumId w:val="16"/>
  </w:num>
  <w:num w:numId="115">
    <w:abstractNumId w:val="125"/>
  </w:num>
  <w:num w:numId="116">
    <w:abstractNumId w:val="107"/>
  </w:num>
  <w:num w:numId="117">
    <w:abstractNumId w:val="502"/>
  </w:num>
  <w:num w:numId="118">
    <w:abstractNumId w:val="267"/>
  </w:num>
  <w:num w:numId="119">
    <w:abstractNumId w:val="286"/>
  </w:num>
  <w:num w:numId="120">
    <w:abstractNumId w:val="566"/>
  </w:num>
  <w:num w:numId="121">
    <w:abstractNumId w:val="525"/>
  </w:num>
  <w:num w:numId="122">
    <w:abstractNumId w:val="377"/>
  </w:num>
  <w:num w:numId="123">
    <w:abstractNumId w:val="553"/>
  </w:num>
  <w:num w:numId="124">
    <w:abstractNumId w:val="83"/>
  </w:num>
  <w:num w:numId="125">
    <w:abstractNumId w:val="103"/>
  </w:num>
  <w:num w:numId="126">
    <w:abstractNumId w:val="94"/>
  </w:num>
  <w:num w:numId="127">
    <w:abstractNumId w:val="406"/>
  </w:num>
  <w:num w:numId="128">
    <w:abstractNumId w:val="310"/>
  </w:num>
  <w:num w:numId="129">
    <w:abstractNumId w:val="37"/>
  </w:num>
  <w:num w:numId="130">
    <w:abstractNumId w:val="412"/>
  </w:num>
  <w:num w:numId="131">
    <w:abstractNumId w:val="516"/>
  </w:num>
  <w:num w:numId="132">
    <w:abstractNumId w:val="392"/>
  </w:num>
  <w:num w:numId="133">
    <w:abstractNumId w:val="430"/>
  </w:num>
  <w:num w:numId="134">
    <w:abstractNumId w:val="433"/>
  </w:num>
  <w:num w:numId="135">
    <w:abstractNumId w:val="186"/>
  </w:num>
  <w:num w:numId="136">
    <w:abstractNumId w:val="341"/>
  </w:num>
  <w:num w:numId="137">
    <w:abstractNumId w:val="89"/>
  </w:num>
  <w:num w:numId="138">
    <w:abstractNumId w:val="401"/>
  </w:num>
  <w:num w:numId="139">
    <w:abstractNumId w:val="98"/>
  </w:num>
  <w:num w:numId="140">
    <w:abstractNumId w:val="357"/>
  </w:num>
  <w:num w:numId="141">
    <w:abstractNumId w:val="345"/>
  </w:num>
  <w:num w:numId="142">
    <w:abstractNumId w:val="315"/>
  </w:num>
  <w:num w:numId="143">
    <w:abstractNumId w:val="486"/>
  </w:num>
  <w:num w:numId="144">
    <w:abstractNumId w:val="275"/>
  </w:num>
  <w:num w:numId="145">
    <w:abstractNumId w:val="190"/>
  </w:num>
  <w:num w:numId="146">
    <w:abstractNumId w:val="274"/>
  </w:num>
  <w:num w:numId="147">
    <w:abstractNumId w:val="170"/>
  </w:num>
  <w:num w:numId="148">
    <w:abstractNumId w:val="481"/>
  </w:num>
  <w:num w:numId="149">
    <w:abstractNumId w:val="151"/>
  </w:num>
  <w:num w:numId="150">
    <w:abstractNumId w:val="47"/>
  </w:num>
  <w:num w:numId="151">
    <w:abstractNumId w:val="314"/>
  </w:num>
  <w:num w:numId="152">
    <w:abstractNumId w:val="497"/>
  </w:num>
  <w:num w:numId="153">
    <w:abstractNumId w:val="252"/>
  </w:num>
  <w:num w:numId="154">
    <w:abstractNumId w:val="376"/>
  </w:num>
  <w:num w:numId="155">
    <w:abstractNumId w:val="518"/>
  </w:num>
  <w:num w:numId="156">
    <w:abstractNumId w:val="544"/>
  </w:num>
  <w:num w:numId="157">
    <w:abstractNumId w:val="296"/>
  </w:num>
  <w:num w:numId="158">
    <w:abstractNumId w:val="82"/>
  </w:num>
  <w:num w:numId="159">
    <w:abstractNumId w:val="236"/>
  </w:num>
  <w:num w:numId="160">
    <w:abstractNumId w:val="426"/>
  </w:num>
  <w:num w:numId="161">
    <w:abstractNumId w:val="530"/>
  </w:num>
  <w:num w:numId="162">
    <w:abstractNumId w:val="351"/>
  </w:num>
  <w:num w:numId="163">
    <w:abstractNumId w:val="284"/>
  </w:num>
  <w:num w:numId="164">
    <w:abstractNumId w:val="225"/>
  </w:num>
  <w:num w:numId="165">
    <w:abstractNumId w:val="307"/>
  </w:num>
  <w:num w:numId="166">
    <w:abstractNumId w:val="505"/>
  </w:num>
  <w:num w:numId="167">
    <w:abstractNumId w:val="330"/>
  </w:num>
  <w:num w:numId="168">
    <w:abstractNumId w:val="43"/>
  </w:num>
  <w:num w:numId="169">
    <w:abstractNumId w:val="391"/>
  </w:num>
  <w:num w:numId="170">
    <w:abstractNumId w:val="471"/>
  </w:num>
  <w:num w:numId="171">
    <w:abstractNumId w:val="361"/>
  </w:num>
  <w:num w:numId="172">
    <w:abstractNumId w:val="475"/>
  </w:num>
  <w:num w:numId="173">
    <w:abstractNumId w:val="205"/>
  </w:num>
  <w:num w:numId="174">
    <w:abstractNumId w:val="191"/>
  </w:num>
  <w:num w:numId="175">
    <w:abstractNumId w:val="547"/>
  </w:num>
  <w:num w:numId="176">
    <w:abstractNumId w:val="134"/>
  </w:num>
  <w:num w:numId="177">
    <w:abstractNumId w:val="288"/>
  </w:num>
  <w:num w:numId="178">
    <w:abstractNumId w:val="509"/>
  </w:num>
  <w:num w:numId="179">
    <w:abstractNumId w:val="163"/>
  </w:num>
  <w:num w:numId="180">
    <w:abstractNumId w:val="339"/>
  </w:num>
  <w:num w:numId="181">
    <w:abstractNumId w:val="380"/>
  </w:num>
  <w:num w:numId="182">
    <w:abstractNumId w:val="183"/>
  </w:num>
  <w:num w:numId="183">
    <w:abstractNumId w:val="446"/>
  </w:num>
  <w:num w:numId="184">
    <w:abstractNumId w:val="150"/>
  </w:num>
  <w:num w:numId="185">
    <w:abstractNumId w:val="485"/>
  </w:num>
  <w:num w:numId="186">
    <w:abstractNumId w:val="139"/>
  </w:num>
  <w:num w:numId="187">
    <w:abstractNumId w:val="36"/>
  </w:num>
  <w:num w:numId="188">
    <w:abstractNumId w:val="277"/>
  </w:num>
  <w:num w:numId="189">
    <w:abstractNumId w:val="301"/>
  </w:num>
  <w:num w:numId="190">
    <w:abstractNumId w:val="496"/>
  </w:num>
  <w:num w:numId="191">
    <w:abstractNumId w:val="242"/>
  </w:num>
  <w:num w:numId="192">
    <w:abstractNumId w:val="353"/>
  </w:num>
  <w:num w:numId="193">
    <w:abstractNumId w:val="39"/>
  </w:num>
  <w:num w:numId="194">
    <w:abstractNumId w:val="373"/>
  </w:num>
  <w:num w:numId="195">
    <w:abstractNumId w:val="513"/>
  </w:num>
  <w:num w:numId="196">
    <w:abstractNumId w:val="441"/>
  </w:num>
  <w:num w:numId="197">
    <w:abstractNumId w:val="368"/>
  </w:num>
  <w:num w:numId="198">
    <w:abstractNumId w:val="410"/>
  </w:num>
  <w:num w:numId="199">
    <w:abstractNumId w:val="218"/>
  </w:num>
  <w:num w:numId="200">
    <w:abstractNumId w:val="394"/>
  </w:num>
  <w:num w:numId="201">
    <w:abstractNumId w:val="491"/>
  </w:num>
  <w:num w:numId="202">
    <w:abstractNumId w:val="398"/>
  </w:num>
  <w:num w:numId="203">
    <w:abstractNumId w:val="411"/>
  </w:num>
  <w:num w:numId="204">
    <w:abstractNumId w:val="292"/>
  </w:num>
  <w:num w:numId="205">
    <w:abstractNumId w:val="408"/>
  </w:num>
  <w:num w:numId="206">
    <w:abstractNumId w:val="243"/>
  </w:num>
  <w:num w:numId="207">
    <w:abstractNumId w:val="14"/>
  </w:num>
  <w:num w:numId="208">
    <w:abstractNumId w:val="210"/>
  </w:num>
  <w:num w:numId="209">
    <w:abstractNumId w:val="483"/>
  </w:num>
  <w:num w:numId="210">
    <w:abstractNumId w:val="432"/>
  </w:num>
  <w:num w:numId="211">
    <w:abstractNumId w:val="116"/>
  </w:num>
  <w:num w:numId="212">
    <w:abstractNumId w:val="375"/>
  </w:num>
  <w:num w:numId="213">
    <w:abstractNumId w:val="4"/>
  </w:num>
  <w:num w:numId="214">
    <w:abstractNumId w:val="26"/>
  </w:num>
  <w:num w:numId="215">
    <w:abstractNumId w:val="93"/>
  </w:num>
  <w:num w:numId="216">
    <w:abstractNumId w:val="259"/>
  </w:num>
  <w:num w:numId="217">
    <w:abstractNumId w:val="482"/>
  </w:num>
  <w:num w:numId="218">
    <w:abstractNumId w:val="8"/>
  </w:num>
  <w:num w:numId="219">
    <w:abstractNumId w:val="506"/>
  </w:num>
  <w:num w:numId="220">
    <w:abstractNumId w:val="308"/>
  </w:num>
  <w:num w:numId="221">
    <w:abstractNumId w:val="10"/>
  </w:num>
  <w:num w:numId="222">
    <w:abstractNumId w:val="1"/>
  </w:num>
  <w:num w:numId="223">
    <w:abstractNumId w:val="382"/>
  </w:num>
  <w:num w:numId="224">
    <w:abstractNumId w:val="245"/>
  </w:num>
  <w:num w:numId="225">
    <w:abstractNumId w:val="527"/>
  </w:num>
  <w:num w:numId="226">
    <w:abstractNumId w:val="91"/>
  </w:num>
  <w:num w:numId="227">
    <w:abstractNumId w:val="428"/>
  </w:num>
  <w:num w:numId="228">
    <w:abstractNumId w:val="455"/>
  </w:num>
  <w:num w:numId="229">
    <w:abstractNumId w:val="219"/>
  </w:num>
  <w:num w:numId="230">
    <w:abstractNumId w:val="331"/>
  </w:num>
  <w:num w:numId="231">
    <w:abstractNumId w:val="434"/>
  </w:num>
  <w:num w:numId="232">
    <w:abstractNumId w:val="417"/>
  </w:num>
  <w:num w:numId="233">
    <w:abstractNumId w:val="519"/>
  </w:num>
  <w:num w:numId="234">
    <w:abstractNumId w:val="323"/>
  </w:num>
  <w:num w:numId="235">
    <w:abstractNumId w:val="342"/>
  </w:num>
  <w:num w:numId="236">
    <w:abstractNumId w:val="80"/>
  </w:num>
  <w:num w:numId="237">
    <w:abstractNumId w:val="128"/>
  </w:num>
  <w:num w:numId="238">
    <w:abstractNumId w:val="463"/>
  </w:num>
  <w:num w:numId="239">
    <w:abstractNumId w:val="33"/>
  </w:num>
  <w:num w:numId="240">
    <w:abstractNumId w:val="365"/>
  </w:num>
  <w:num w:numId="241">
    <w:abstractNumId w:val="355"/>
  </w:num>
  <w:num w:numId="242">
    <w:abstractNumId w:val="294"/>
  </w:num>
  <w:num w:numId="243">
    <w:abstractNumId w:val="25"/>
  </w:num>
  <w:num w:numId="244">
    <w:abstractNumId w:val="105"/>
  </w:num>
  <w:num w:numId="245">
    <w:abstractNumId w:val="560"/>
  </w:num>
  <w:num w:numId="246">
    <w:abstractNumId w:val="118"/>
  </w:num>
  <w:num w:numId="247">
    <w:abstractNumId w:val="71"/>
  </w:num>
  <w:num w:numId="248">
    <w:abstractNumId w:val="195"/>
  </w:num>
  <w:num w:numId="249">
    <w:abstractNumId w:val="27"/>
  </w:num>
  <w:num w:numId="250">
    <w:abstractNumId w:val="265"/>
  </w:num>
  <w:num w:numId="251">
    <w:abstractNumId w:val="289"/>
  </w:num>
  <w:num w:numId="252">
    <w:abstractNumId w:val="443"/>
  </w:num>
  <w:num w:numId="253">
    <w:abstractNumId w:val="372"/>
  </w:num>
  <w:num w:numId="254">
    <w:abstractNumId w:val="396"/>
  </w:num>
  <w:num w:numId="255">
    <w:abstractNumId w:val="473"/>
  </w:num>
  <w:num w:numId="256">
    <w:abstractNumId w:val="174"/>
  </w:num>
  <w:num w:numId="257">
    <w:abstractNumId w:val="244"/>
  </w:num>
  <w:num w:numId="258">
    <w:abstractNumId w:val="495"/>
  </w:num>
  <w:num w:numId="259">
    <w:abstractNumId w:val="60"/>
  </w:num>
  <w:num w:numId="260">
    <w:abstractNumId w:val="454"/>
  </w:num>
  <w:num w:numId="261">
    <w:abstractNumId w:val="3"/>
  </w:num>
  <w:num w:numId="262">
    <w:abstractNumId w:val="159"/>
  </w:num>
  <w:num w:numId="263">
    <w:abstractNumId w:val="9"/>
  </w:num>
  <w:num w:numId="264">
    <w:abstractNumId w:val="146"/>
  </w:num>
  <w:num w:numId="265">
    <w:abstractNumId w:val="149"/>
  </w:num>
  <w:num w:numId="266">
    <w:abstractNumId w:val="283"/>
  </w:num>
  <w:num w:numId="267">
    <w:abstractNumId w:val="257"/>
  </w:num>
  <w:num w:numId="268">
    <w:abstractNumId w:val="264"/>
  </w:num>
  <w:num w:numId="269">
    <w:abstractNumId w:val="316"/>
  </w:num>
  <w:num w:numId="270">
    <w:abstractNumId w:val="476"/>
  </w:num>
  <w:num w:numId="271">
    <w:abstractNumId w:val="161"/>
  </w:num>
  <w:num w:numId="272">
    <w:abstractNumId w:val="427"/>
  </w:num>
  <w:num w:numId="273">
    <w:abstractNumId w:val="335"/>
  </w:num>
  <w:num w:numId="274">
    <w:abstractNumId w:val="540"/>
  </w:num>
  <w:num w:numId="275">
    <w:abstractNumId w:val="460"/>
  </w:num>
  <w:num w:numId="276">
    <w:abstractNumId w:val="328"/>
  </w:num>
  <w:num w:numId="277">
    <w:abstractNumId w:val="211"/>
  </w:num>
  <w:num w:numId="278">
    <w:abstractNumId w:val="550"/>
  </w:num>
  <w:num w:numId="279">
    <w:abstractNumId w:val="0"/>
  </w:num>
  <w:num w:numId="280">
    <w:abstractNumId w:val="231"/>
  </w:num>
  <w:num w:numId="281">
    <w:abstractNumId w:val="204"/>
  </w:num>
  <w:num w:numId="282">
    <w:abstractNumId w:val="302"/>
  </w:num>
  <w:num w:numId="283">
    <w:abstractNumId w:val="251"/>
  </w:num>
  <w:num w:numId="284">
    <w:abstractNumId w:val="177"/>
  </w:num>
  <w:num w:numId="285">
    <w:abstractNumId w:val="556"/>
  </w:num>
  <w:num w:numId="286">
    <w:abstractNumId w:val="344"/>
  </w:num>
  <w:num w:numId="287">
    <w:abstractNumId w:val="436"/>
  </w:num>
  <w:num w:numId="288">
    <w:abstractNumId w:val="202"/>
  </w:num>
  <w:num w:numId="289">
    <w:abstractNumId w:val="147"/>
  </w:num>
  <w:num w:numId="290">
    <w:abstractNumId w:val="209"/>
  </w:num>
  <w:num w:numId="291">
    <w:abstractNumId w:val="524"/>
  </w:num>
  <w:num w:numId="292">
    <w:abstractNumId w:val="492"/>
  </w:num>
  <w:num w:numId="293">
    <w:abstractNumId w:val="13"/>
  </w:num>
  <w:num w:numId="294">
    <w:abstractNumId w:val="287"/>
  </w:num>
  <w:num w:numId="295">
    <w:abstractNumId w:val="20"/>
  </w:num>
  <w:num w:numId="296">
    <w:abstractNumId w:val="350"/>
  </w:num>
  <w:num w:numId="297">
    <w:abstractNumId w:val="160"/>
  </w:num>
  <w:num w:numId="298">
    <w:abstractNumId w:val="444"/>
  </w:num>
  <w:num w:numId="299">
    <w:abstractNumId w:val="273"/>
  </w:num>
  <w:num w:numId="300">
    <w:abstractNumId w:val="435"/>
  </w:num>
  <w:num w:numId="301">
    <w:abstractNumId w:val="543"/>
  </w:num>
  <w:num w:numId="302">
    <w:abstractNumId w:val="561"/>
  </w:num>
  <w:num w:numId="303">
    <w:abstractNumId w:val="437"/>
  </w:num>
  <w:num w:numId="304">
    <w:abstractNumId w:val="74"/>
  </w:num>
  <w:num w:numId="305">
    <w:abstractNumId w:val="32"/>
  </w:num>
  <w:num w:numId="306">
    <w:abstractNumId w:val="336"/>
  </w:num>
  <w:num w:numId="307">
    <w:abstractNumId w:val="514"/>
  </w:num>
  <w:num w:numId="308">
    <w:abstractNumId w:val="196"/>
  </w:num>
  <w:num w:numId="309">
    <w:abstractNumId w:val="504"/>
  </w:num>
  <w:num w:numId="310">
    <w:abstractNumId w:val="104"/>
  </w:num>
  <w:num w:numId="311">
    <w:abstractNumId w:val="212"/>
  </w:num>
  <w:num w:numId="312">
    <w:abstractNumId w:val="526"/>
  </w:num>
  <w:num w:numId="313">
    <w:abstractNumId w:val="65"/>
  </w:num>
  <w:num w:numId="314">
    <w:abstractNumId w:val="55"/>
  </w:num>
  <w:num w:numId="315">
    <w:abstractNumId w:val="559"/>
  </w:num>
  <w:num w:numId="316">
    <w:abstractNumId w:val="220"/>
  </w:num>
  <w:num w:numId="317">
    <w:abstractNumId w:val="358"/>
  </w:num>
  <w:num w:numId="318">
    <w:abstractNumId w:val="138"/>
  </w:num>
  <w:num w:numId="319">
    <w:abstractNumId w:val="53"/>
  </w:num>
  <w:num w:numId="320">
    <w:abstractNumId w:val="295"/>
  </w:num>
  <w:num w:numId="321">
    <w:abstractNumId w:val="405"/>
  </w:num>
  <w:num w:numId="322">
    <w:abstractNumId w:val="477"/>
  </w:num>
  <w:num w:numId="323">
    <w:abstractNumId w:val="200"/>
  </w:num>
  <w:num w:numId="324">
    <w:abstractNumId w:val="465"/>
  </w:num>
  <w:num w:numId="325">
    <w:abstractNumId w:val="510"/>
  </w:num>
  <w:num w:numId="326">
    <w:abstractNumId w:val="141"/>
  </w:num>
  <w:num w:numId="327">
    <w:abstractNumId w:val="469"/>
  </w:num>
  <w:num w:numId="328">
    <w:abstractNumId w:val="340"/>
  </w:num>
  <w:num w:numId="329">
    <w:abstractNumId w:val="371"/>
  </w:num>
  <w:num w:numId="330">
    <w:abstractNumId w:val="164"/>
  </w:num>
  <w:num w:numId="331">
    <w:abstractNumId w:val="266"/>
  </w:num>
  <w:num w:numId="332">
    <w:abstractNumId w:val="297"/>
  </w:num>
  <w:num w:numId="333">
    <w:abstractNumId w:val="24"/>
  </w:num>
  <w:num w:numId="334">
    <w:abstractNumId w:val="119"/>
  </w:num>
  <w:num w:numId="335">
    <w:abstractNumId w:val="452"/>
  </w:num>
  <w:num w:numId="336">
    <w:abstractNumId w:val="78"/>
  </w:num>
  <w:num w:numId="337">
    <w:abstractNumId w:val="440"/>
  </w:num>
  <w:num w:numId="338">
    <w:abstractNumId w:val="144"/>
  </w:num>
  <w:num w:numId="339">
    <w:abstractNumId w:val="217"/>
  </w:num>
  <w:num w:numId="340">
    <w:abstractNumId w:val="489"/>
  </w:num>
  <w:num w:numId="341">
    <w:abstractNumId w:val="221"/>
  </w:num>
  <w:num w:numId="342">
    <w:abstractNumId w:val="148"/>
  </w:num>
  <w:num w:numId="343">
    <w:abstractNumId w:val="395"/>
  </w:num>
  <w:num w:numId="344">
    <w:abstractNumId w:val="44"/>
  </w:num>
  <w:num w:numId="345">
    <w:abstractNumId w:val="453"/>
  </w:num>
  <w:num w:numId="346">
    <w:abstractNumId w:val="293"/>
  </w:num>
  <w:num w:numId="347">
    <w:abstractNumId w:val="389"/>
  </w:num>
  <w:num w:numId="348">
    <w:abstractNumId w:val="557"/>
  </w:num>
  <w:num w:numId="349">
    <w:abstractNumId w:val="500"/>
  </w:num>
  <w:num w:numId="350">
    <w:abstractNumId w:val="538"/>
  </w:num>
  <w:num w:numId="351">
    <w:abstractNumId w:val="438"/>
  </w:num>
  <w:num w:numId="352">
    <w:abstractNumId w:val="383"/>
  </w:num>
  <w:num w:numId="353">
    <w:abstractNumId w:val="512"/>
  </w:num>
  <w:num w:numId="354">
    <w:abstractNumId w:val="458"/>
  </w:num>
  <w:num w:numId="355">
    <w:abstractNumId w:val="45"/>
  </w:num>
  <w:num w:numId="356">
    <w:abstractNumId w:val="305"/>
  </w:num>
  <w:num w:numId="357">
    <w:abstractNumId w:val="67"/>
  </w:num>
  <w:num w:numId="358">
    <w:abstractNumId w:val="62"/>
  </w:num>
  <w:num w:numId="359">
    <w:abstractNumId w:val="472"/>
  </w:num>
  <w:num w:numId="360">
    <w:abstractNumId w:val="201"/>
  </w:num>
  <w:num w:numId="361">
    <w:abstractNumId w:val="70"/>
  </w:num>
  <w:num w:numId="362">
    <w:abstractNumId w:val="449"/>
  </w:num>
  <w:num w:numId="363">
    <w:abstractNumId w:val="115"/>
  </w:num>
  <w:num w:numId="364">
    <w:abstractNumId w:val="354"/>
  </w:num>
  <w:num w:numId="365">
    <w:abstractNumId w:val="41"/>
  </w:num>
  <w:num w:numId="366">
    <w:abstractNumId w:val="348"/>
  </w:num>
  <w:num w:numId="367">
    <w:abstractNumId w:val="11"/>
  </w:num>
  <w:num w:numId="368">
    <w:abstractNumId w:val="390"/>
  </w:num>
  <w:num w:numId="369">
    <w:abstractNumId w:val="126"/>
  </w:num>
  <w:num w:numId="370">
    <w:abstractNumId w:val="137"/>
  </w:num>
  <w:num w:numId="371">
    <w:abstractNumId w:val="480"/>
  </w:num>
  <w:num w:numId="372">
    <w:abstractNumId w:val="197"/>
  </w:num>
  <w:num w:numId="373">
    <w:abstractNumId w:val="23"/>
  </w:num>
  <w:num w:numId="374">
    <w:abstractNumId w:val="239"/>
  </w:num>
  <w:num w:numId="375">
    <w:abstractNumId w:val="63"/>
  </w:num>
  <w:num w:numId="376">
    <w:abstractNumId w:val="461"/>
  </w:num>
  <w:num w:numId="377">
    <w:abstractNumId w:val="276"/>
  </w:num>
  <w:num w:numId="378">
    <w:abstractNumId w:val="6"/>
  </w:num>
  <w:num w:numId="379">
    <w:abstractNumId w:val="404"/>
  </w:num>
  <w:num w:numId="380">
    <w:abstractNumId w:val="450"/>
  </w:num>
  <w:num w:numId="381">
    <w:abstractNumId w:val="499"/>
  </w:num>
  <w:num w:numId="382">
    <w:abstractNumId w:val="254"/>
  </w:num>
  <w:num w:numId="383">
    <w:abstractNumId w:val="113"/>
  </w:num>
  <w:num w:numId="384">
    <w:abstractNumId w:val="321"/>
  </w:num>
  <w:num w:numId="385">
    <w:abstractNumId w:val="515"/>
  </w:num>
  <w:num w:numId="386">
    <w:abstractNumId w:val="386"/>
  </w:num>
  <w:num w:numId="387">
    <w:abstractNumId w:val="268"/>
  </w:num>
  <w:num w:numId="388">
    <w:abstractNumId w:val="172"/>
  </w:num>
  <w:num w:numId="389">
    <w:abstractNumId w:val="334"/>
  </w:num>
  <w:num w:numId="390">
    <w:abstractNumId w:val="216"/>
  </w:num>
  <w:num w:numId="391">
    <w:abstractNumId w:val="112"/>
  </w:num>
  <w:num w:numId="392">
    <w:abstractNumId w:val="152"/>
  </w:num>
  <w:num w:numId="393">
    <w:abstractNumId w:val="165"/>
  </w:num>
  <w:num w:numId="394">
    <w:abstractNumId w:val="442"/>
  </w:num>
  <w:num w:numId="395">
    <w:abstractNumId w:val="232"/>
  </w:num>
  <w:num w:numId="396">
    <w:abstractNumId w:val="535"/>
  </w:num>
  <w:num w:numId="397">
    <w:abstractNumId w:val="75"/>
  </w:num>
  <w:num w:numId="398">
    <w:abstractNumId w:val="192"/>
  </w:num>
  <w:num w:numId="399">
    <w:abstractNumId w:val="431"/>
  </w:num>
  <w:num w:numId="400">
    <w:abstractNumId w:val="385"/>
  </w:num>
  <w:num w:numId="401">
    <w:abstractNumId w:val="523"/>
  </w:num>
  <w:num w:numId="402">
    <w:abstractNumId w:val="153"/>
  </w:num>
  <w:num w:numId="403">
    <w:abstractNumId w:val="198"/>
  </w:num>
  <w:num w:numId="404">
    <w:abstractNumId w:val="484"/>
  </w:num>
  <w:num w:numId="405">
    <w:abstractNumId w:val="111"/>
  </w:num>
  <w:num w:numId="406">
    <w:abstractNumId w:val="66"/>
  </w:num>
  <w:num w:numId="407">
    <w:abstractNumId w:val="501"/>
  </w:num>
  <w:num w:numId="408">
    <w:abstractNumId w:val="462"/>
  </w:num>
  <w:num w:numId="409">
    <w:abstractNumId w:val="77"/>
  </w:num>
  <w:num w:numId="410">
    <w:abstractNumId w:val="213"/>
  </w:num>
  <w:num w:numId="411">
    <w:abstractNumId w:val="399"/>
  </w:num>
  <w:num w:numId="412">
    <w:abstractNumId w:val="423"/>
  </w:num>
  <w:num w:numId="413">
    <w:abstractNumId w:val="129"/>
  </w:num>
  <w:num w:numId="414">
    <w:abstractNumId w:val="313"/>
  </w:num>
  <w:num w:numId="415">
    <w:abstractNumId w:val="324"/>
  </w:num>
  <w:num w:numId="416">
    <w:abstractNumId w:val="179"/>
  </w:num>
  <w:num w:numId="417">
    <w:abstractNumId w:val="84"/>
  </w:num>
  <w:num w:numId="418">
    <w:abstractNumId w:val="124"/>
  </w:num>
  <w:num w:numId="419">
    <w:abstractNumId w:val="537"/>
  </w:num>
  <w:num w:numId="420">
    <w:abstractNumId w:val="531"/>
  </w:num>
  <w:num w:numId="421">
    <w:abstractNumId w:val="140"/>
  </w:num>
  <w:num w:numId="422">
    <w:abstractNumId w:val="173"/>
  </w:num>
  <w:num w:numId="423">
    <w:abstractNumId w:val="285"/>
  </w:num>
  <w:num w:numId="424">
    <w:abstractNumId w:val="255"/>
  </w:num>
  <w:num w:numId="425">
    <w:abstractNumId w:val="48"/>
  </w:num>
  <w:num w:numId="426">
    <w:abstractNumId w:val="250"/>
  </w:num>
  <w:num w:numId="427">
    <w:abstractNumId w:val="34"/>
  </w:num>
  <w:num w:numId="428">
    <w:abstractNumId w:val="352"/>
  </w:num>
  <w:num w:numId="429">
    <w:abstractNumId w:val="145"/>
  </w:num>
  <w:num w:numId="430">
    <w:abstractNumId w:val="337"/>
  </w:num>
  <w:num w:numId="431">
    <w:abstractNumId w:val="233"/>
  </w:num>
  <w:num w:numId="432">
    <w:abstractNumId w:val="366"/>
  </w:num>
  <w:num w:numId="433">
    <w:abstractNumId w:val="269"/>
  </w:num>
  <w:num w:numId="434">
    <w:abstractNumId w:val="387"/>
  </w:num>
  <w:num w:numId="435">
    <w:abstractNumId w:val="187"/>
  </w:num>
  <w:num w:numId="436">
    <w:abstractNumId w:val="97"/>
  </w:num>
  <w:num w:numId="437">
    <w:abstractNumId w:val="280"/>
  </w:num>
  <w:num w:numId="438">
    <w:abstractNumId w:val="546"/>
  </w:num>
  <w:num w:numId="439">
    <w:abstractNumId w:val="87"/>
  </w:num>
  <w:num w:numId="440">
    <w:abstractNumId w:val="96"/>
  </w:num>
  <w:num w:numId="441">
    <w:abstractNumId w:val="272"/>
  </w:num>
  <w:num w:numId="442">
    <w:abstractNumId w:val="554"/>
  </w:num>
  <w:num w:numId="443">
    <w:abstractNumId w:val="178"/>
  </w:num>
  <w:num w:numId="444">
    <w:abstractNumId w:val="415"/>
  </w:num>
  <w:num w:numId="445">
    <w:abstractNumId w:val="227"/>
  </w:num>
  <w:num w:numId="446">
    <w:abstractNumId w:val="110"/>
  </w:num>
  <w:num w:numId="447">
    <w:abstractNumId w:val="539"/>
  </w:num>
  <w:num w:numId="448">
    <w:abstractNumId w:val="542"/>
  </w:num>
  <w:num w:numId="449">
    <w:abstractNumId w:val="304"/>
  </w:num>
  <w:num w:numId="450">
    <w:abstractNumId w:val="322"/>
  </w:num>
  <w:num w:numId="451">
    <w:abstractNumId w:val="207"/>
  </w:num>
  <w:num w:numId="452">
    <w:abstractNumId w:val="414"/>
  </w:num>
  <w:num w:numId="453">
    <w:abstractNumId w:val="326"/>
  </w:num>
  <w:num w:numId="454">
    <w:abstractNumId w:val="234"/>
  </w:num>
  <w:num w:numId="455">
    <w:abstractNumId w:val="238"/>
  </w:num>
  <w:num w:numId="456">
    <w:abstractNumId w:val="230"/>
  </w:num>
  <w:num w:numId="457">
    <w:abstractNumId w:val="168"/>
  </w:num>
  <w:num w:numId="458">
    <w:abstractNumId w:val="419"/>
  </w:num>
  <w:num w:numId="459">
    <w:abstractNumId w:val="158"/>
  </w:num>
  <w:num w:numId="460">
    <w:abstractNumId w:val="188"/>
  </w:num>
  <w:num w:numId="461">
    <w:abstractNumId w:val="157"/>
  </w:num>
  <w:num w:numId="462">
    <w:abstractNumId w:val="100"/>
  </w:num>
  <w:num w:numId="463">
    <w:abstractNumId w:val="50"/>
  </w:num>
  <w:num w:numId="464">
    <w:abstractNumId w:val="422"/>
  </w:num>
  <w:num w:numId="465">
    <w:abstractNumId w:val="215"/>
  </w:num>
  <w:num w:numId="466">
    <w:abstractNumId w:val="184"/>
  </w:num>
  <w:num w:numId="467">
    <w:abstractNumId w:val="503"/>
  </w:num>
  <w:num w:numId="468">
    <w:abstractNumId w:val="333"/>
  </w:num>
  <w:num w:numId="469">
    <w:abstractNumId w:val="309"/>
  </w:num>
  <w:num w:numId="470">
    <w:abstractNumId w:val="68"/>
  </w:num>
  <w:num w:numId="471">
    <w:abstractNumId w:val="117"/>
  </w:num>
  <w:num w:numId="472">
    <w:abstractNumId w:val="300"/>
  </w:num>
  <w:num w:numId="473">
    <w:abstractNumId w:val="194"/>
  </w:num>
  <w:num w:numId="474">
    <w:abstractNumId w:val="549"/>
  </w:num>
  <w:num w:numId="475">
    <w:abstractNumId w:val="142"/>
  </w:num>
  <w:num w:numId="476">
    <w:abstractNumId w:val="270"/>
  </w:num>
  <w:num w:numId="477">
    <w:abstractNumId w:val="459"/>
  </w:num>
  <w:num w:numId="478">
    <w:abstractNumId w:val="451"/>
  </w:num>
  <w:num w:numId="479">
    <w:abstractNumId w:val="176"/>
  </w:num>
  <w:num w:numId="480">
    <w:abstractNumId w:val="532"/>
  </w:num>
  <w:num w:numId="481">
    <w:abstractNumId w:val="69"/>
  </w:num>
  <w:num w:numId="482">
    <w:abstractNumId w:val="534"/>
  </w:num>
  <w:num w:numId="483">
    <w:abstractNumId w:val="54"/>
  </w:num>
  <w:num w:numId="484">
    <w:abstractNumId w:val="258"/>
  </w:num>
  <w:num w:numId="485">
    <w:abstractNumId w:val="425"/>
  </w:num>
  <w:num w:numId="486">
    <w:abstractNumId w:val="237"/>
  </w:num>
  <w:num w:numId="487">
    <w:abstractNumId w:val="311"/>
  </w:num>
  <w:num w:numId="488">
    <w:abstractNumId w:val="7"/>
  </w:num>
  <w:num w:numId="489">
    <w:abstractNumId w:val="46"/>
  </w:num>
  <w:num w:numId="490">
    <w:abstractNumId w:val="166"/>
  </w:num>
  <w:num w:numId="491">
    <w:abstractNumId w:val="470"/>
  </w:num>
  <w:num w:numId="492">
    <w:abstractNumId w:val="520"/>
  </w:num>
  <w:num w:numId="493">
    <w:abstractNumId w:val="420"/>
  </w:num>
  <w:num w:numId="494">
    <w:abstractNumId w:val="132"/>
  </w:num>
  <w:num w:numId="495">
    <w:abstractNumId w:val="189"/>
  </w:num>
  <w:num w:numId="496">
    <w:abstractNumId w:val="76"/>
  </w:num>
  <w:num w:numId="497">
    <w:abstractNumId w:val="222"/>
  </w:num>
  <w:num w:numId="498">
    <w:abstractNumId w:val="298"/>
  </w:num>
  <w:num w:numId="499">
    <w:abstractNumId w:val="379"/>
  </w:num>
  <w:num w:numId="500">
    <w:abstractNumId w:val="42"/>
  </w:num>
  <w:num w:numId="501">
    <w:abstractNumId w:val="256"/>
  </w:num>
  <w:num w:numId="502">
    <w:abstractNumId w:val="64"/>
  </w:num>
  <w:num w:numId="503">
    <w:abstractNumId w:val="564"/>
  </w:num>
  <w:num w:numId="504">
    <w:abstractNumId w:val="49"/>
  </w:num>
  <w:num w:numId="505">
    <w:abstractNumId w:val="182"/>
  </w:num>
  <w:num w:numId="506">
    <w:abstractNumId w:val="356"/>
  </w:num>
  <w:num w:numId="507">
    <w:abstractNumId w:val="507"/>
  </w:num>
  <w:num w:numId="508">
    <w:abstractNumId w:val="102"/>
  </w:num>
  <w:num w:numId="509">
    <w:abstractNumId w:val="536"/>
  </w:num>
  <w:num w:numId="510">
    <w:abstractNumId w:val="226"/>
  </w:num>
  <w:num w:numId="511">
    <w:abstractNumId w:val="2"/>
  </w:num>
  <w:num w:numId="512">
    <w:abstractNumId w:val="81"/>
  </w:num>
  <w:num w:numId="513">
    <w:abstractNumId w:val="121"/>
  </w:num>
  <w:num w:numId="514">
    <w:abstractNumId w:val="122"/>
  </w:num>
  <w:num w:numId="515">
    <w:abstractNumId w:val="15"/>
  </w:num>
  <w:num w:numId="516">
    <w:abstractNumId w:val="374"/>
  </w:num>
  <w:num w:numId="517">
    <w:abstractNumId w:val="384"/>
  </w:num>
  <w:num w:numId="518">
    <w:abstractNumId w:val="291"/>
  </w:num>
  <w:num w:numId="519">
    <w:abstractNumId w:val="369"/>
  </w:num>
  <w:num w:numId="520">
    <w:abstractNumId w:val="320"/>
  </w:num>
  <w:num w:numId="521">
    <w:abstractNumId w:val="133"/>
  </w:num>
  <w:num w:numId="522">
    <w:abstractNumId w:val="416"/>
  </w:num>
  <w:num w:numId="523">
    <w:abstractNumId w:val="249"/>
  </w:num>
  <w:num w:numId="524">
    <w:abstractNumId w:val="262"/>
  </w:num>
  <w:num w:numId="525">
    <w:abstractNumId w:val="551"/>
  </w:num>
  <w:num w:numId="526">
    <w:abstractNumId w:val="312"/>
  </w:num>
  <w:num w:numId="527">
    <w:abstractNumId w:val="429"/>
  </w:num>
  <w:num w:numId="528">
    <w:abstractNumId w:val="108"/>
  </w:num>
  <w:num w:numId="529">
    <w:abstractNumId w:val="317"/>
  </w:num>
  <w:num w:numId="530">
    <w:abstractNumId w:val="493"/>
  </w:num>
  <w:num w:numId="531">
    <w:abstractNumId w:val="329"/>
  </w:num>
  <w:num w:numId="532">
    <w:abstractNumId w:val="35"/>
  </w:num>
  <w:num w:numId="533">
    <w:abstractNumId w:val="521"/>
  </w:num>
  <w:num w:numId="534">
    <w:abstractNumId w:val="409"/>
  </w:num>
  <w:num w:numId="535">
    <w:abstractNumId w:val="447"/>
  </w:num>
  <w:num w:numId="536">
    <w:abstractNumId w:val="28"/>
  </w:num>
  <w:num w:numId="537">
    <w:abstractNumId w:val="90"/>
  </w:num>
  <w:num w:numId="538">
    <w:abstractNumId w:val="180"/>
  </w:num>
  <w:num w:numId="539">
    <w:abstractNumId w:val="360"/>
  </w:num>
  <w:num w:numId="540">
    <w:abstractNumId w:val="562"/>
  </w:num>
  <w:num w:numId="541">
    <w:abstractNumId w:val="228"/>
  </w:num>
  <w:num w:numId="542">
    <w:abstractNumId w:val="397"/>
  </w:num>
  <w:num w:numId="543">
    <w:abstractNumId w:val="478"/>
  </w:num>
  <w:num w:numId="544">
    <w:abstractNumId w:val="109"/>
  </w:num>
  <w:num w:numId="545">
    <w:abstractNumId w:val="72"/>
  </w:num>
  <w:num w:numId="546">
    <w:abstractNumId w:val="58"/>
  </w:num>
  <w:num w:numId="547">
    <w:abstractNumId w:val="193"/>
  </w:num>
  <w:num w:numId="548">
    <w:abstractNumId w:val="31"/>
  </w:num>
  <w:num w:numId="549">
    <w:abstractNumId w:val="203"/>
  </w:num>
  <w:num w:numId="550">
    <w:abstractNumId w:val="155"/>
  </w:num>
  <w:num w:numId="551">
    <w:abstractNumId w:val="567"/>
  </w:num>
  <w:num w:numId="552">
    <w:abstractNumId w:val="12"/>
  </w:num>
  <w:num w:numId="553">
    <w:abstractNumId w:val="21"/>
  </w:num>
  <w:num w:numId="554">
    <w:abstractNumId w:val="52"/>
  </w:num>
  <w:num w:numId="555">
    <w:abstractNumId w:val="558"/>
  </w:num>
  <w:num w:numId="556">
    <w:abstractNumId w:val="541"/>
  </w:num>
  <w:num w:numId="557">
    <w:abstractNumId w:val="565"/>
  </w:num>
  <w:num w:numId="558">
    <w:abstractNumId w:val="19"/>
  </w:num>
  <w:num w:numId="559">
    <w:abstractNumId w:val="439"/>
  </w:num>
  <w:num w:numId="560">
    <w:abstractNumId w:val="143"/>
  </w:num>
  <w:num w:numId="561">
    <w:abstractNumId w:val="99"/>
  </w:num>
  <w:num w:numId="562">
    <w:abstractNumId w:val="555"/>
  </w:num>
  <w:num w:numId="563">
    <w:abstractNumId w:val="261"/>
  </w:num>
  <w:num w:numId="564">
    <w:abstractNumId w:val="224"/>
  </w:num>
  <w:num w:numId="565">
    <w:abstractNumId w:val="114"/>
  </w:num>
  <w:num w:numId="566">
    <w:abstractNumId w:val="281"/>
  </w:num>
  <w:num w:numId="567">
    <w:abstractNumId w:val="175"/>
  </w:num>
  <w:num w:numId="568">
    <w:abstractNumId w:val="5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minorBidi" w:hAnsi="minorBidi" w:eastAsia="等线" w:cs="minorBidi"/>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Light"/>
    <w:basedOn w:val="198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Plain Table 1"/>
    <w:basedOn w:val="198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2"/>
    <w:basedOn w:val="1988"/>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3"/>
    <w:basedOn w:val="198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4"/>
    <w:basedOn w:val="198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5"/>
    <w:basedOn w:val="198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Grid Table 1 Light"/>
    <w:basedOn w:val="198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 Accent 1"/>
    <w:basedOn w:val="198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2"/>
    <w:basedOn w:val="198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3"/>
    <w:basedOn w:val="198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4"/>
    <w:basedOn w:val="198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5"/>
    <w:basedOn w:val="198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6"/>
    <w:basedOn w:val="198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2"/>
    <w:basedOn w:val="198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 Accent 1"/>
    <w:basedOn w:val="198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2"/>
    <w:basedOn w:val="198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3"/>
    <w:basedOn w:val="198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4"/>
    <w:basedOn w:val="198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5"/>
    <w:basedOn w:val="198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6"/>
    <w:basedOn w:val="198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3"/>
    <w:basedOn w:val="198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 Accent 1"/>
    <w:basedOn w:val="198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2"/>
    <w:basedOn w:val="198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3"/>
    <w:basedOn w:val="198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4"/>
    <w:basedOn w:val="198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5"/>
    <w:basedOn w:val="198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6"/>
    <w:basedOn w:val="198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4"/>
    <w:basedOn w:val="198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 Accent 1"/>
    <w:basedOn w:val="198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2"/>
    <w:basedOn w:val="198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3"/>
    <w:basedOn w:val="198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4"/>
    <w:basedOn w:val="198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5"/>
    <w:basedOn w:val="198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6"/>
    <w:basedOn w:val="198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5 Dark"/>
    <w:basedOn w:val="19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Accent 1"/>
    <w:basedOn w:val="19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 Accent 2"/>
    <w:basedOn w:val="19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3"/>
    <w:basedOn w:val="19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Accent 4"/>
    <w:basedOn w:val="19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 Accent 5"/>
    <w:basedOn w:val="19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6"/>
    <w:basedOn w:val="19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6 Colorful"/>
    <w:basedOn w:val="198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4">
    <w:name w:val="Grid Table 6 Colorful - Accent 1"/>
    <w:basedOn w:val="198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5">
    <w:name w:val="Grid Table 6 Colorful - Accent 2"/>
    <w:basedOn w:val="198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6">
    <w:name w:val="Grid Table 6 Colorful - Accent 3"/>
    <w:basedOn w:val="198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7">
    <w:name w:val="Grid Table 6 Colorful - Accent 4"/>
    <w:basedOn w:val="198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8">
    <w:name w:val="Grid Table 6 Colorful - Accent 5"/>
    <w:basedOn w:val="198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59">
    <w:name w:val="Grid Table 6 Colorful - Accent 6"/>
    <w:basedOn w:val="198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7 Colorful"/>
    <w:basedOn w:val="198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7 Colorful - Accent 1"/>
    <w:basedOn w:val="198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2"/>
    <w:basedOn w:val="198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a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3"/>
    <w:basedOn w:val="198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4"/>
    <w:basedOn w:val="198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5"/>
    <w:basedOn w:val="198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6"/>
    <w:basedOn w:val="198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List Table 1 Light"/>
    <w:basedOn w:val="19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 Accent 1"/>
    <w:basedOn w:val="19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2"/>
    <w:basedOn w:val="19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3"/>
    <w:basedOn w:val="19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4"/>
    <w:basedOn w:val="19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5"/>
    <w:basedOn w:val="19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6"/>
    <w:basedOn w:val="19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2"/>
    <w:basedOn w:val="198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 Accent 1"/>
    <w:basedOn w:val="198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2"/>
    <w:basedOn w:val="198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3"/>
    <w:basedOn w:val="198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4"/>
    <w:basedOn w:val="198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5"/>
    <w:basedOn w:val="198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6"/>
    <w:basedOn w:val="198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3"/>
    <w:basedOn w:val="198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 Accent 1"/>
    <w:basedOn w:val="198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2"/>
    <w:basedOn w:val="198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3"/>
    <w:basedOn w:val="198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4"/>
    <w:basedOn w:val="198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5"/>
    <w:basedOn w:val="198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6"/>
    <w:basedOn w:val="198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4"/>
    <w:basedOn w:val="198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 Accent 1"/>
    <w:basedOn w:val="198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2"/>
    <w:basedOn w:val="198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3"/>
    <w:basedOn w:val="198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4"/>
    <w:basedOn w:val="198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5"/>
    <w:basedOn w:val="198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6"/>
    <w:basedOn w:val="198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5 Dark"/>
    <w:basedOn w:val="198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
    <w:name w:val="List Table 5 Dark - Accent 1"/>
    <w:basedOn w:val="198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2"/>
    <w:basedOn w:val="198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3"/>
    <w:basedOn w:val="198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4"/>
    <w:basedOn w:val="198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5"/>
    <w:basedOn w:val="198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6"/>
    <w:basedOn w:val="198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6 Colorful"/>
    <w:basedOn w:val="198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List Table 6 Colorful - Accent 1"/>
    <w:basedOn w:val="198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2"/>
    <w:basedOn w:val="198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3"/>
    <w:basedOn w:val="198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4"/>
    <w:basedOn w:val="198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5"/>
    <w:basedOn w:val="198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ba0" w:themeColor="accent5" w:themeTint="9A" w:themeShade="95"/>
      </w:rPr>
      <w:pPr>
        <w:pBdr/>
        <w:spacing/>
        <w:ind/>
      </w:pPr>
      <w:tblPr>
        <w:tblBorders/>
      </w:tblPr>
      <w:tcPr>
        <w:tcBorders/>
      </w:tcPr>
    </w:tblStylePr>
    <w:tblStylePr w:type="firstRow">
      <w:rPr>
        <w:b/>
        <w:color w:val="335ba0" w:themeColor="accent5" w:themeTint="9A" w:themeShade="95"/>
      </w:rPr>
      <w:pPr>
        <w:pBdr/>
        <w:spacing/>
        <w:ind/>
      </w:pPr>
      <w:tblPr>
        <w:tblBorders/>
      </w:tblPr>
      <w:tcPr>
        <w:tcBorders>
          <w:bottom w:val="single" w:color="000000" w:themeColor="accent5" w:themeTint="9A" w:sz="4" w:space="0"/>
        </w:tcBorders>
      </w:tcPr>
    </w:tblStylePr>
    <w:tblStylePr w:type="lastCol">
      <w:rPr>
        <w:b/>
        <w:color w:val="335ba0" w:themeColor="accent5" w:themeTint="9A" w:themeShade="95"/>
      </w:rPr>
      <w:pPr>
        <w:pBdr/>
        <w:spacing/>
        <w:ind/>
      </w:pPr>
      <w:tblPr>
        <w:tblBorders/>
      </w:tblPr>
      <w:tcPr>
        <w:tcBorders/>
      </w:tcPr>
    </w:tblStylePr>
    <w:tblStylePr w:type="lastRow">
      <w:rPr>
        <w:b/>
        <w:color w:val="335b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6"/>
    <w:basedOn w:val="198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7 Colorful"/>
    <w:basedOn w:val="198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0">
    <w:name w:val="List Table 7 Colorful - Accent 1"/>
    <w:basedOn w:val="198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1">
    <w:name w:val="List Table 7 Colorful - Accent 2"/>
    <w:basedOn w:val="198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a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112">
    <w:name w:val="List Table 7 Colorful - Accent 3"/>
    <w:basedOn w:val="198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113">
    <w:name w:val="List Table 7 Colorful - Accent 4"/>
    <w:basedOn w:val="198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4">
    <w:name w:val="List Table 7 Colorful - Accent 5"/>
    <w:basedOn w:val="198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ba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b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ba0"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ba0"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ba0" w:themeColor="accent5" w:themeTint="9A" w:themeShade="95"/>
        <w:sz w:val="22"/>
      </w:rPr>
      <w:pPr>
        <w:pBdr/>
        <w:spacing/>
        <w:ind/>
      </w:pPr>
      <w:tblPr>
        <w:tblBorders/>
      </w:tblPr>
      <w:tcPr>
        <w:tcBorders/>
      </w:tcPr>
    </w:tblStylePr>
  </w:style>
  <w:style w:type="table" w:styleId="115">
    <w:name w:val="List Table 7 Colorful - Accent 6"/>
    <w:basedOn w:val="198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6">
    <w:name w:val="Lined - Accent"/>
    <w:basedOn w:val="19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ned - Accent 1"/>
    <w:basedOn w:val="19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2"/>
    <w:basedOn w:val="19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3"/>
    <w:basedOn w:val="19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4"/>
    <w:basedOn w:val="19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5"/>
    <w:basedOn w:val="19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6"/>
    <w:basedOn w:val="19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Bordered &amp; Lined - Accent"/>
    <w:basedOn w:val="198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1"/>
    <w:basedOn w:val="198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2"/>
    <w:basedOn w:val="198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3"/>
    <w:basedOn w:val="198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4"/>
    <w:basedOn w:val="198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5"/>
    <w:basedOn w:val="198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6"/>
    <w:basedOn w:val="198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w:basedOn w:val="198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 Accent 1"/>
    <w:basedOn w:val="198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2"/>
    <w:basedOn w:val="198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3"/>
    <w:basedOn w:val="198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4"/>
    <w:basedOn w:val="198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5"/>
    <w:basedOn w:val="198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6"/>
    <w:basedOn w:val="198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1">
    <w:name w:val="Heading 4"/>
    <w:basedOn w:val="1983"/>
    <w:next w:val="1983"/>
    <w:link w:val="15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2">
    <w:name w:val="Heading 5"/>
    <w:basedOn w:val="1983"/>
    <w:next w:val="1983"/>
    <w:link w:val="15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3">
    <w:name w:val="Heading 6"/>
    <w:basedOn w:val="1983"/>
    <w:next w:val="1983"/>
    <w:link w:val="15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4">
    <w:name w:val="Heading 7"/>
    <w:basedOn w:val="1983"/>
    <w:next w:val="1983"/>
    <w:link w:val="15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5">
    <w:name w:val="Heading 8"/>
    <w:basedOn w:val="1983"/>
    <w:next w:val="1983"/>
    <w:link w:val="15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6">
    <w:name w:val="Heading 9"/>
    <w:basedOn w:val="1983"/>
    <w:next w:val="1983"/>
    <w:link w:val="15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numbering" w:styleId="148" w:default="1">
    <w:name w:val="No List"/>
    <w:uiPriority w:val="99"/>
    <w:semiHidden/>
    <w:unhideWhenUsed/>
    <w:pPr>
      <w:pBdr/>
      <w:spacing/>
      <w:ind/>
    </w:pPr>
  </w:style>
  <w:style w:type="character" w:styleId="149">
    <w:name w:val="Heading 1 Char"/>
    <w:basedOn w:val="1987"/>
    <w:link w:val="1984"/>
    <w:uiPriority w:val="9"/>
    <w:pPr>
      <w:pBdr/>
      <w:spacing/>
      <w:ind/>
    </w:pPr>
    <w:rPr>
      <w:rFonts w:ascii="Arial" w:hAnsi="Arial" w:eastAsia="Arial" w:cs="Arial"/>
      <w:color w:val="0f4761" w:themeColor="accent1" w:themeShade="BF"/>
      <w:sz w:val="40"/>
      <w:szCs w:val="40"/>
    </w:rPr>
  </w:style>
  <w:style w:type="character" w:styleId="150">
    <w:name w:val="Heading 2 Char"/>
    <w:basedOn w:val="1987"/>
    <w:link w:val="1985"/>
    <w:uiPriority w:val="9"/>
    <w:pPr>
      <w:pBdr/>
      <w:spacing/>
      <w:ind/>
    </w:pPr>
    <w:rPr>
      <w:rFonts w:ascii="Arial" w:hAnsi="Arial" w:eastAsia="Arial" w:cs="Arial"/>
      <w:color w:val="0f4761" w:themeColor="accent1" w:themeShade="BF"/>
      <w:sz w:val="32"/>
      <w:szCs w:val="32"/>
    </w:rPr>
  </w:style>
  <w:style w:type="character" w:styleId="151">
    <w:name w:val="Heading 3 Char"/>
    <w:basedOn w:val="1987"/>
    <w:link w:val="1986"/>
    <w:uiPriority w:val="9"/>
    <w:pPr>
      <w:pBdr/>
      <w:spacing/>
      <w:ind/>
    </w:pPr>
    <w:rPr>
      <w:rFonts w:ascii="Arial" w:hAnsi="Arial" w:eastAsia="Arial" w:cs="Arial"/>
      <w:color w:val="0f4761" w:themeColor="accent1" w:themeShade="BF"/>
      <w:sz w:val="28"/>
      <w:szCs w:val="28"/>
    </w:rPr>
  </w:style>
  <w:style w:type="character" w:styleId="152">
    <w:name w:val="Heading 4 Char"/>
    <w:basedOn w:val="1987"/>
    <w:link w:val="141"/>
    <w:uiPriority w:val="9"/>
    <w:pPr>
      <w:pBdr/>
      <w:spacing/>
      <w:ind/>
    </w:pPr>
    <w:rPr>
      <w:rFonts w:ascii="Arial" w:hAnsi="Arial" w:eastAsia="Arial" w:cs="Arial"/>
      <w:i/>
      <w:iCs/>
      <w:color w:val="0f4761" w:themeColor="accent1" w:themeShade="BF"/>
    </w:rPr>
  </w:style>
  <w:style w:type="character" w:styleId="153">
    <w:name w:val="Heading 5 Char"/>
    <w:basedOn w:val="1987"/>
    <w:link w:val="142"/>
    <w:uiPriority w:val="9"/>
    <w:pPr>
      <w:pBdr/>
      <w:spacing/>
      <w:ind/>
    </w:pPr>
    <w:rPr>
      <w:rFonts w:ascii="Arial" w:hAnsi="Arial" w:eastAsia="Arial" w:cs="Arial"/>
      <w:color w:val="0f4761" w:themeColor="accent1" w:themeShade="BF"/>
    </w:rPr>
  </w:style>
  <w:style w:type="character" w:styleId="154">
    <w:name w:val="Heading 6 Char"/>
    <w:basedOn w:val="1987"/>
    <w:link w:val="143"/>
    <w:uiPriority w:val="9"/>
    <w:pPr>
      <w:pBdr/>
      <w:spacing/>
      <w:ind/>
    </w:pPr>
    <w:rPr>
      <w:rFonts w:ascii="Arial" w:hAnsi="Arial" w:eastAsia="Arial" w:cs="Arial"/>
      <w:i/>
      <w:iCs/>
      <w:color w:val="595959" w:themeColor="text1" w:themeTint="A6"/>
    </w:rPr>
  </w:style>
  <w:style w:type="character" w:styleId="155">
    <w:name w:val="Heading 7 Char"/>
    <w:basedOn w:val="1987"/>
    <w:link w:val="144"/>
    <w:uiPriority w:val="9"/>
    <w:pPr>
      <w:pBdr/>
      <w:spacing/>
      <w:ind/>
    </w:pPr>
    <w:rPr>
      <w:rFonts w:ascii="Arial" w:hAnsi="Arial" w:eastAsia="Arial" w:cs="Arial"/>
      <w:color w:val="595959" w:themeColor="text1" w:themeTint="A6"/>
    </w:rPr>
  </w:style>
  <w:style w:type="character" w:styleId="156">
    <w:name w:val="Heading 8 Char"/>
    <w:basedOn w:val="1987"/>
    <w:link w:val="145"/>
    <w:uiPriority w:val="9"/>
    <w:pPr>
      <w:pBdr/>
      <w:spacing/>
      <w:ind/>
    </w:pPr>
    <w:rPr>
      <w:rFonts w:ascii="Arial" w:hAnsi="Arial" w:eastAsia="Arial" w:cs="Arial"/>
      <w:i/>
      <w:iCs/>
      <w:color w:val="272727" w:themeColor="text1" w:themeTint="D8"/>
    </w:rPr>
  </w:style>
  <w:style w:type="character" w:styleId="157">
    <w:name w:val="Heading 9 Char"/>
    <w:basedOn w:val="1987"/>
    <w:link w:val="146"/>
    <w:uiPriority w:val="9"/>
    <w:pPr>
      <w:pBdr/>
      <w:spacing/>
      <w:ind/>
    </w:pPr>
    <w:rPr>
      <w:rFonts w:ascii="Arial" w:hAnsi="Arial" w:eastAsia="Arial" w:cs="Arial"/>
      <w:i/>
      <w:iCs/>
      <w:color w:val="272727" w:themeColor="text1" w:themeTint="D8"/>
    </w:rPr>
  </w:style>
  <w:style w:type="character" w:styleId="159">
    <w:name w:val="Title Char"/>
    <w:basedOn w:val="1987"/>
    <w:link w:val="1993"/>
    <w:uiPriority w:val="10"/>
    <w:pPr>
      <w:pBdr/>
      <w:spacing/>
      <w:ind/>
    </w:pPr>
    <w:rPr>
      <w:rFonts w:ascii="Arial" w:hAnsi="Arial" w:eastAsia="Arial" w:cs="Arial"/>
      <w:spacing w:val="-10"/>
      <w:sz w:val="56"/>
      <w:szCs w:val="56"/>
    </w:rPr>
  </w:style>
  <w:style w:type="paragraph" w:styleId="160">
    <w:name w:val="Subtitle"/>
    <w:basedOn w:val="1983"/>
    <w:next w:val="1983"/>
    <w:link w:val="161"/>
    <w:uiPriority w:val="11"/>
    <w:qFormat/>
    <w:pPr>
      <w:numPr>
        <w:ilvl w:val="1"/>
      </w:numPr>
      <w:pBdr/>
      <w:spacing/>
      <w:ind/>
    </w:pPr>
    <w:rPr>
      <w:color w:val="595959" w:themeColor="text1" w:themeTint="A6"/>
      <w:spacing w:val="15"/>
      <w:sz w:val="28"/>
      <w:szCs w:val="28"/>
    </w:rPr>
  </w:style>
  <w:style w:type="character" w:styleId="161">
    <w:name w:val="Subtitle Char"/>
    <w:basedOn w:val="1987"/>
    <w:link w:val="160"/>
    <w:uiPriority w:val="11"/>
    <w:pPr>
      <w:pBdr/>
      <w:spacing/>
      <w:ind/>
    </w:pPr>
    <w:rPr>
      <w:color w:val="595959" w:themeColor="text1" w:themeTint="A6"/>
      <w:spacing w:val="15"/>
      <w:sz w:val="28"/>
      <w:szCs w:val="28"/>
    </w:rPr>
  </w:style>
  <w:style w:type="paragraph" w:styleId="162">
    <w:name w:val="Quote"/>
    <w:basedOn w:val="1983"/>
    <w:next w:val="1983"/>
    <w:link w:val="163"/>
    <w:uiPriority w:val="29"/>
    <w:qFormat/>
    <w:pPr>
      <w:pBdr/>
      <w:spacing w:before="160"/>
      <w:ind/>
      <w:jc w:val="center"/>
    </w:pPr>
    <w:rPr>
      <w:i/>
      <w:iCs/>
      <w:color w:val="404040" w:themeColor="text1" w:themeTint="BF"/>
    </w:rPr>
  </w:style>
  <w:style w:type="character" w:styleId="163">
    <w:name w:val="Quote Char"/>
    <w:basedOn w:val="1987"/>
    <w:link w:val="162"/>
    <w:uiPriority w:val="29"/>
    <w:pPr>
      <w:pBdr/>
      <w:spacing/>
      <w:ind/>
    </w:pPr>
    <w:rPr>
      <w:i/>
      <w:iCs/>
      <w:color w:val="404040" w:themeColor="text1" w:themeTint="BF"/>
    </w:rPr>
  </w:style>
  <w:style w:type="character" w:styleId="165">
    <w:name w:val="Intense Emphasis"/>
    <w:basedOn w:val="1987"/>
    <w:uiPriority w:val="21"/>
    <w:qFormat/>
    <w:pPr>
      <w:pBdr/>
      <w:spacing/>
      <w:ind/>
    </w:pPr>
    <w:rPr>
      <w:i/>
      <w:iCs/>
      <w:color w:val="0f4761" w:themeColor="accent1" w:themeShade="BF"/>
    </w:rPr>
  </w:style>
  <w:style w:type="paragraph" w:styleId="166">
    <w:name w:val="Intense Quote"/>
    <w:basedOn w:val="1983"/>
    <w:next w:val="1983"/>
    <w:link w:val="16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7">
    <w:name w:val="Intense Quote Char"/>
    <w:basedOn w:val="1987"/>
    <w:link w:val="166"/>
    <w:uiPriority w:val="30"/>
    <w:pPr>
      <w:pBdr/>
      <w:spacing/>
      <w:ind/>
    </w:pPr>
    <w:rPr>
      <w:i/>
      <w:iCs/>
      <w:color w:val="0f4761" w:themeColor="accent1" w:themeShade="BF"/>
    </w:rPr>
  </w:style>
  <w:style w:type="character" w:styleId="168">
    <w:name w:val="Intense Reference"/>
    <w:basedOn w:val="1987"/>
    <w:uiPriority w:val="32"/>
    <w:qFormat/>
    <w:pPr>
      <w:pBdr/>
      <w:spacing/>
      <w:ind/>
    </w:pPr>
    <w:rPr>
      <w:b/>
      <w:bCs/>
      <w:smallCaps/>
      <w:color w:val="0f4761" w:themeColor="accent1" w:themeShade="BF"/>
      <w:spacing w:val="5"/>
    </w:rPr>
  </w:style>
  <w:style w:type="paragraph" w:styleId="169">
    <w:name w:val="No Spacing"/>
    <w:basedOn w:val="1983"/>
    <w:uiPriority w:val="1"/>
    <w:qFormat/>
    <w:pPr>
      <w:pBdr/>
      <w:spacing w:after="0" w:line="240" w:lineRule="auto"/>
      <w:ind/>
    </w:pPr>
  </w:style>
  <w:style w:type="character" w:styleId="170">
    <w:name w:val="Subtle Emphasis"/>
    <w:basedOn w:val="1987"/>
    <w:uiPriority w:val="19"/>
    <w:qFormat/>
    <w:pPr>
      <w:pBdr/>
      <w:spacing/>
      <w:ind/>
    </w:pPr>
    <w:rPr>
      <w:i/>
      <w:iCs/>
      <w:color w:val="404040" w:themeColor="text1" w:themeTint="BF"/>
    </w:rPr>
  </w:style>
  <w:style w:type="character" w:styleId="171">
    <w:name w:val="Emphasis"/>
    <w:basedOn w:val="1987"/>
    <w:uiPriority w:val="20"/>
    <w:qFormat/>
    <w:pPr>
      <w:pBdr/>
      <w:spacing/>
      <w:ind/>
    </w:pPr>
    <w:rPr>
      <w:i/>
      <w:iCs/>
    </w:rPr>
  </w:style>
  <w:style w:type="character" w:styleId="172">
    <w:name w:val="Strong"/>
    <w:basedOn w:val="1987"/>
    <w:uiPriority w:val="22"/>
    <w:qFormat/>
    <w:pPr>
      <w:pBdr/>
      <w:spacing/>
      <w:ind/>
    </w:pPr>
    <w:rPr>
      <w:b/>
      <w:bCs/>
    </w:rPr>
  </w:style>
  <w:style w:type="character" w:styleId="173">
    <w:name w:val="Subtle Reference"/>
    <w:basedOn w:val="1987"/>
    <w:uiPriority w:val="31"/>
    <w:qFormat/>
    <w:pPr>
      <w:pBdr/>
      <w:spacing/>
      <w:ind/>
    </w:pPr>
    <w:rPr>
      <w:smallCaps/>
      <w:color w:val="5a5a5a" w:themeColor="text1" w:themeTint="A5"/>
    </w:rPr>
  </w:style>
  <w:style w:type="character" w:styleId="174">
    <w:name w:val="Book Title"/>
    <w:basedOn w:val="1987"/>
    <w:uiPriority w:val="33"/>
    <w:qFormat/>
    <w:pPr>
      <w:pBdr/>
      <w:spacing/>
      <w:ind/>
    </w:pPr>
    <w:rPr>
      <w:b/>
      <w:bCs/>
      <w:i/>
      <w:iCs/>
      <w:spacing w:val="5"/>
    </w:rPr>
  </w:style>
  <w:style w:type="character" w:styleId="176">
    <w:name w:val="Header Char"/>
    <w:basedOn w:val="1987"/>
    <w:link w:val="1991"/>
    <w:uiPriority w:val="99"/>
    <w:pPr>
      <w:pBdr/>
      <w:spacing/>
      <w:ind/>
    </w:pPr>
  </w:style>
  <w:style w:type="character" w:styleId="178">
    <w:name w:val="Footer Char"/>
    <w:basedOn w:val="1987"/>
    <w:link w:val="1990"/>
    <w:uiPriority w:val="99"/>
    <w:pPr>
      <w:pBdr/>
      <w:spacing/>
      <w:ind/>
    </w:pPr>
  </w:style>
  <w:style w:type="paragraph" w:styleId="179">
    <w:name w:val="Caption"/>
    <w:basedOn w:val="1983"/>
    <w:next w:val="1983"/>
    <w:uiPriority w:val="35"/>
    <w:unhideWhenUsed/>
    <w:qFormat/>
    <w:pPr>
      <w:pBdr/>
      <w:spacing w:after="200" w:line="240" w:lineRule="auto"/>
      <w:ind/>
    </w:pPr>
    <w:rPr>
      <w:i/>
      <w:iCs/>
      <w:color w:val="0e2841" w:themeColor="text2"/>
      <w:sz w:val="18"/>
      <w:szCs w:val="18"/>
    </w:rPr>
  </w:style>
  <w:style w:type="paragraph" w:styleId="180">
    <w:name w:val="footnote text"/>
    <w:basedOn w:val="1983"/>
    <w:link w:val="181"/>
    <w:uiPriority w:val="99"/>
    <w:semiHidden/>
    <w:unhideWhenUsed/>
    <w:pPr>
      <w:pBdr/>
      <w:spacing w:after="0" w:line="240" w:lineRule="auto"/>
      <w:ind/>
    </w:pPr>
    <w:rPr>
      <w:sz w:val="20"/>
      <w:szCs w:val="20"/>
    </w:rPr>
  </w:style>
  <w:style w:type="character" w:styleId="181">
    <w:name w:val="Footnote Text Char"/>
    <w:basedOn w:val="1987"/>
    <w:link w:val="180"/>
    <w:uiPriority w:val="99"/>
    <w:semiHidden/>
    <w:pPr>
      <w:pBdr/>
      <w:spacing/>
      <w:ind/>
    </w:pPr>
    <w:rPr>
      <w:sz w:val="20"/>
      <w:szCs w:val="20"/>
    </w:rPr>
  </w:style>
  <w:style w:type="character" w:styleId="182">
    <w:name w:val="footnote reference"/>
    <w:basedOn w:val="1987"/>
    <w:uiPriority w:val="99"/>
    <w:semiHidden/>
    <w:unhideWhenUsed/>
    <w:pPr>
      <w:pBdr/>
      <w:spacing/>
      <w:ind/>
    </w:pPr>
    <w:rPr>
      <w:vertAlign w:val="superscript"/>
    </w:rPr>
  </w:style>
  <w:style w:type="paragraph" w:styleId="183">
    <w:name w:val="endnote text"/>
    <w:basedOn w:val="1983"/>
    <w:link w:val="184"/>
    <w:uiPriority w:val="99"/>
    <w:semiHidden/>
    <w:unhideWhenUsed/>
    <w:pPr>
      <w:pBdr/>
      <w:spacing w:after="0" w:line="240" w:lineRule="auto"/>
      <w:ind/>
    </w:pPr>
    <w:rPr>
      <w:sz w:val="20"/>
      <w:szCs w:val="20"/>
    </w:rPr>
  </w:style>
  <w:style w:type="character" w:styleId="184">
    <w:name w:val="Endnote Text Char"/>
    <w:basedOn w:val="1987"/>
    <w:link w:val="183"/>
    <w:uiPriority w:val="99"/>
    <w:semiHidden/>
    <w:pPr>
      <w:pBdr/>
      <w:spacing/>
      <w:ind/>
    </w:pPr>
    <w:rPr>
      <w:sz w:val="20"/>
      <w:szCs w:val="20"/>
    </w:rPr>
  </w:style>
  <w:style w:type="character" w:styleId="185">
    <w:name w:val="endnote reference"/>
    <w:basedOn w:val="1987"/>
    <w:uiPriority w:val="99"/>
    <w:semiHidden/>
    <w:unhideWhenUsed/>
    <w:pPr>
      <w:pBdr/>
      <w:spacing/>
      <w:ind/>
    </w:pPr>
    <w:rPr>
      <w:vertAlign w:val="superscript"/>
    </w:rPr>
  </w:style>
  <w:style w:type="character" w:styleId="187">
    <w:name w:val="FollowedHyperlink"/>
    <w:basedOn w:val="1987"/>
    <w:uiPriority w:val="99"/>
    <w:semiHidden/>
    <w:unhideWhenUsed/>
    <w:pPr>
      <w:pBdr/>
      <w:spacing/>
      <w:ind/>
    </w:pPr>
    <w:rPr>
      <w:color w:val="954f72" w:themeColor="followedHyperlink"/>
      <w:u w:val="single"/>
    </w:rPr>
  </w:style>
  <w:style w:type="paragraph" w:styleId="189">
    <w:name w:val="toc 2"/>
    <w:basedOn w:val="1983"/>
    <w:next w:val="1983"/>
    <w:uiPriority w:val="39"/>
    <w:unhideWhenUsed/>
    <w:pPr>
      <w:pBdr/>
      <w:spacing w:after="100"/>
      <w:ind w:left="220"/>
    </w:pPr>
  </w:style>
  <w:style w:type="paragraph" w:styleId="190">
    <w:name w:val="toc 3"/>
    <w:basedOn w:val="1983"/>
    <w:next w:val="1983"/>
    <w:uiPriority w:val="39"/>
    <w:unhideWhenUsed/>
    <w:pPr>
      <w:pBdr/>
      <w:spacing w:after="100"/>
      <w:ind w:left="440"/>
    </w:pPr>
  </w:style>
  <w:style w:type="paragraph" w:styleId="191">
    <w:name w:val="toc 4"/>
    <w:basedOn w:val="1983"/>
    <w:next w:val="1983"/>
    <w:uiPriority w:val="39"/>
    <w:unhideWhenUsed/>
    <w:pPr>
      <w:pBdr/>
      <w:spacing w:after="100"/>
      <w:ind w:left="660"/>
    </w:pPr>
  </w:style>
  <w:style w:type="paragraph" w:styleId="192">
    <w:name w:val="toc 5"/>
    <w:basedOn w:val="1983"/>
    <w:next w:val="1983"/>
    <w:uiPriority w:val="39"/>
    <w:unhideWhenUsed/>
    <w:pPr>
      <w:pBdr/>
      <w:spacing w:after="100"/>
      <w:ind w:left="880"/>
    </w:pPr>
  </w:style>
  <w:style w:type="paragraph" w:styleId="193">
    <w:name w:val="toc 6"/>
    <w:basedOn w:val="1983"/>
    <w:next w:val="1983"/>
    <w:uiPriority w:val="39"/>
    <w:unhideWhenUsed/>
    <w:pPr>
      <w:pBdr/>
      <w:spacing w:after="100"/>
      <w:ind w:left="1100"/>
    </w:pPr>
  </w:style>
  <w:style w:type="paragraph" w:styleId="194">
    <w:name w:val="toc 7"/>
    <w:basedOn w:val="1983"/>
    <w:next w:val="1983"/>
    <w:uiPriority w:val="39"/>
    <w:unhideWhenUsed/>
    <w:pPr>
      <w:pBdr/>
      <w:spacing w:after="100"/>
      <w:ind w:left="1320"/>
    </w:pPr>
  </w:style>
  <w:style w:type="paragraph" w:styleId="195">
    <w:name w:val="toc 8"/>
    <w:basedOn w:val="1983"/>
    <w:next w:val="1983"/>
    <w:uiPriority w:val="39"/>
    <w:unhideWhenUsed/>
    <w:pPr>
      <w:pBdr/>
      <w:spacing w:after="100"/>
      <w:ind w:left="1540"/>
    </w:pPr>
  </w:style>
  <w:style w:type="paragraph" w:styleId="196">
    <w:name w:val="toc 9"/>
    <w:basedOn w:val="1983"/>
    <w:next w:val="1983"/>
    <w:uiPriority w:val="39"/>
    <w:unhideWhenUsed/>
    <w:pPr>
      <w:pBdr/>
      <w:spacing w:after="100"/>
      <w:ind w:left="1760"/>
    </w:pPr>
  </w:style>
  <w:style w:type="paragraph" w:styleId="206">
    <w:name w:val="TOC Heading"/>
    <w:uiPriority w:val="39"/>
    <w:unhideWhenUsed/>
    <w:pPr>
      <w:pBdr/>
      <w:spacing/>
      <w:ind/>
    </w:pPr>
  </w:style>
  <w:style w:type="paragraph" w:styleId="207">
    <w:name w:val="table of figures"/>
    <w:basedOn w:val="1983"/>
    <w:next w:val="1983"/>
    <w:uiPriority w:val="99"/>
    <w:unhideWhenUsed/>
    <w:pPr>
      <w:pBdr/>
      <w:spacing w:after="0" w:afterAutospacing="0"/>
      <w:ind/>
    </w:pPr>
  </w:style>
  <w:style w:type="paragraph" w:styleId="1983" w:default="1">
    <w:name w:val="Normal"/>
    <w:uiPriority w:val="0"/>
    <w:qFormat/>
    <w:pPr>
      <w:widowControl w:val="false"/>
      <w:pBdr/>
      <w:spacing w:after="120" w:before="120" w:line="288" w:lineRule="auto"/>
      <w:ind/>
    </w:pPr>
    <w:rPr>
      <w:rFonts w:ascii="Times New Roman" w:hAnsi="Times New Roman" w:cs="Arial" w:eastAsiaTheme="minorEastAsia"/>
      <w:sz w:val="22"/>
      <w:szCs w:val="24"/>
      <w:lang w:val="en-US" w:eastAsia="zh-CN" w:bidi="ar-SA"/>
    </w:rPr>
  </w:style>
  <w:style w:type="paragraph" w:styleId="1984">
    <w:name w:val="Heading 1"/>
    <w:basedOn w:val="1983"/>
    <w:next w:val="1983"/>
    <w:link w:val="1997"/>
    <w:uiPriority w:val="0"/>
    <w:qFormat/>
    <w:pPr>
      <w:keepNext w:val="true"/>
      <w:keepLines w:val="true"/>
      <w:pBdr/>
      <w:spacing/>
      <w:ind/>
      <w:outlineLvl w:val="0"/>
    </w:pPr>
    <w:rPr>
      <w:b/>
      <w:bCs/>
      <w:sz w:val="32"/>
      <w:szCs w:val="44"/>
    </w:rPr>
  </w:style>
  <w:style w:type="paragraph" w:styleId="1985">
    <w:name w:val="Heading 2"/>
    <w:basedOn w:val="1983"/>
    <w:next w:val="1983"/>
    <w:link w:val="1998"/>
    <w:uiPriority w:val="0"/>
    <w:unhideWhenUsed/>
    <w:qFormat/>
    <w:pPr>
      <w:keepNext w:val="true"/>
      <w:keepLines w:val="true"/>
      <w:pBdr/>
      <w:spacing/>
      <w:ind/>
      <w:outlineLvl w:val="1"/>
    </w:pPr>
    <w:rPr>
      <w:rFonts w:eastAsiaTheme="majorEastAsia" w:cstheme="majorBidi"/>
      <w:b/>
      <w:bCs/>
      <w:sz w:val="30"/>
      <w:szCs w:val="32"/>
    </w:rPr>
  </w:style>
  <w:style w:type="paragraph" w:styleId="1986">
    <w:name w:val="Heading 3"/>
    <w:basedOn w:val="1983"/>
    <w:next w:val="1983"/>
    <w:link w:val="1999"/>
    <w:uiPriority w:val="0"/>
    <w:unhideWhenUsed/>
    <w:qFormat/>
    <w:pPr>
      <w:keepNext w:val="true"/>
      <w:keepLines w:val="true"/>
      <w:pBdr/>
      <w:spacing w:after="260" w:before="260" w:line="416" w:lineRule="auto"/>
      <w:ind/>
      <w:outlineLvl w:val="2"/>
    </w:pPr>
    <w:rPr>
      <w:b/>
      <w:bCs/>
      <w:sz w:val="32"/>
      <w:szCs w:val="32"/>
    </w:rPr>
  </w:style>
  <w:style w:type="character" w:styleId="1987" w:default="1">
    <w:name w:val="Default Paragraph Font"/>
    <w:uiPriority w:val="1"/>
    <w:semiHidden/>
    <w:unhideWhenUsed/>
    <w:qFormat/>
    <w:pPr>
      <w:pBdr/>
      <w:spacing/>
      <w:ind/>
    </w:pPr>
  </w:style>
  <w:style w:type="table" w:styleId="1988" w:default="1">
    <w:name w:val="Normal Table"/>
    <w:uiPriority w:val="99"/>
    <w:semiHidden/>
    <w:unhideWhenUsed/>
    <w:qFormat/>
    <w:pPr>
      <w:keepNext w:val="false"/>
      <w:keepLines w:val="false"/>
      <w:widowControl w:val="true"/>
      <w:suppressLineNumbers w:val="false"/>
      <w:pBdr/>
      <w:spacing w:after="0" w:afterAutospacing="0" w:before="0" w:beforeAutospacing="0"/>
      <w:ind w:right="0" w:left="0"/>
    </w:pPr>
    <w:rPr>
      <w:rFonts w:hint="default" w:ascii="minorBidi" w:hAnsi="minorBidi" w:eastAsia="minorBidi" w:cs="minorBidi"/>
      <w:sz w:val="20"/>
      <w:szCs w:val="20"/>
    </w:r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989">
    <w:name w:val="Balloon Text"/>
    <w:basedOn w:val="1983"/>
    <w:link w:val="2003"/>
    <w:uiPriority w:val="0"/>
    <w:qFormat/>
    <w:pPr>
      <w:pBdr/>
      <w:spacing w:after="0" w:before="0" w:line="240" w:lineRule="auto"/>
      <w:ind/>
    </w:pPr>
    <w:rPr>
      <w:sz w:val="18"/>
      <w:szCs w:val="18"/>
    </w:rPr>
  </w:style>
  <w:style w:type="paragraph" w:styleId="1990">
    <w:name w:val="Footer"/>
    <w:basedOn w:val="1983"/>
    <w:link w:val="2001"/>
    <w:uiPriority w:val="99"/>
    <w:unhideWhenUsed/>
    <w:qFormat/>
    <w:pPr>
      <w:pBdr/>
      <w:tabs>
        <w:tab w:val="center" w:leader="none" w:pos="4153"/>
        <w:tab w:val="right" w:leader="none" w:pos="8306"/>
      </w:tabs>
      <w:spacing w:after="0" w:before="0" w:line="240" w:lineRule="auto"/>
      <w:ind w:firstLine="480"/>
    </w:pPr>
    <w:rPr>
      <w:rFonts w:cstheme="minorBidi"/>
      <w:sz w:val="18"/>
      <w:szCs w:val="18"/>
    </w:rPr>
  </w:style>
  <w:style w:type="paragraph" w:styleId="1991">
    <w:name w:val="Header"/>
    <w:basedOn w:val="1983"/>
    <w:link w:val="2002"/>
    <w:uiPriority w:val="99"/>
    <w:unhideWhenUsed/>
    <w:qFormat/>
    <w:pPr>
      <w:pBdr>
        <w:bottom w:val="single" w:color="000000" w:sz="6" w:space="1"/>
      </w:pBdr>
      <w:tabs>
        <w:tab w:val="center" w:leader="none" w:pos="4153"/>
        <w:tab w:val="right" w:leader="none" w:pos="8306"/>
      </w:tabs>
      <w:spacing w:after="0" w:before="0" w:line="240" w:lineRule="auto"/>
      <w:ind w:firstLine="480"/>
      <w:jc w:val="center"/>
    </w:pPr>
    <w:rPr>
      <w:rFonts w:cstheme="minorBidi"/>
      <w:sz w:val="18"/>
      <w:szCs w:val="18"/>
    </w:rPr>
  </w:style>
  <w:style w:type="paragraph" w:styleId="1992">
    <w:name w:val="toc 1"/>
    <w:basedOn w:val="1983"/>
    <w:next w:val="1983"/>
    <w:uiPriority w:val="39"/>
    <w:qFormat/>
    <w:pPr>
      <w:pBdr/>
      <w:spacing/>
      <w:ind/>
    </w:pPr>
  </w:style>
  <w:style w:type="paragraph" w:styleId="1993">
    <w:name w:val="Title"/>
    <w:basedOn w:val="1983"/>
    <w:next w:val="1983"/>
    <w:link w:val="2000"/>
    <w:uiPriority w:val="0"/>
    <w:qFormat/>
    <w:pPr>
      <w:pBdr/>
      <w:spacing w:after="60" w:before="240"/>
      <w:ind/>
      <w:jc w:val="center"/>
      <w:outlineLvl w:val="0"/>
    </w:pPr>
    <w:rPr>
      <w:rFonts w:eastAsia="宋体" w:asciiTheme="majorHAnsi" w:hAnsiTheme="majorHAnsi" w:cstheme="majorBidi"/>
      <w:b/>
      <w:bCs/>
      <w:sz w:val="32"/>
      <w:szCs w:val="32"/>
    </w:rPr>
  </w:style>
  <w:style w:type="table" w:styleId="1994">
    <w:name w:val="Table Grid"/>
    <w:basedOn w:val="1988"/>
    <w:uiPriority w:val="0"/>
    <w:semiHidden/>
    <w:unhideWhenUsed/>
    <w:qFormat/>
    <w:pPr>
      <w:widowControl w:val="false"/>
      <w:pBdr/>
      <w:spacing/>
      <w:ind/>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995">
    <w:name w:val="Hyperlink"/>
    <w:basedOn w:val="1987"/>
    <w:uiPriority w:val="99"/>
    <w:unhideWhenUsed/>
    <w:qFormat/>
    <w:pPr>
      <w:pBdr/>
      <w:spacing/>
      <w:ind/>
    </w:pPr>
    <w:rPr>
      <w:color w:val="0563c1" w:themeColor="hyperlink"/>
      <w:u w:val="single"/>
      <w14:textFill>
        <w14:solidFill>
          <w14:schemeClr w14:val="hlink"/>
        </w14:solidFill>
      </w14:textFill>
    </w:rPr>
  </w:style>
  <w:style w:type="paragraph" w:styleId="1996">
    <w:name w:val="List Paragraph"/>
    <w:basedOn w:val="1983"/>
    <w:uiPriority w:val="99"/>
    <w:qFormat/>
    <w:pPr>
      <w:pBdr/>
      <w:spacing/>
      <w:ind w:firstLine="420"/>
    </w:pPr>
  </w:style>
  <w:style w:type="character" w:styleId="1997" w:customStyle="1">
    <w:name w:val="标题 1 字符"/>
    <w:basedOn w:val="1987"/>
    <w:link w:val="1984"/>
    <w:uiPriority w:val="0"/>
    <w:qFormat/>
    <w:pPr>
      <w:pBdr/>
      <w:spacing/>
      <w:ind/>
    </w:pPr>
    <w:rPr>
      <w:rFonts w:ascii="Times New Roman" w:hAnsi="Times New Roman" w:cs="Arial"/>
      <w:b/>
      <w:bCs/>
      <w:sz w:val="32"/>
      <w:szCs w:val="44"/>
    </w:rPr>
  </w:style>
  <w:style w:type="character" w:styleId="1998" w:customStyle="1">
    <w:name w:val="标题 2 字符"/>
    <w:basedOn w:val="1987"/>
    <w:link w:val="1985"/>
    <w:uiPriority w:val="0"/>
    <w:qFormat/>
    <w:pPr>
      <w:pBdr/>
      <w:spacing/>
      <w:ind/>
    </w:pPr>
    <w:rPr>
      <w:rFonts w:ascii="Times New Roman" w:hAnsi="Times New Roman" w:eastAsiaTheme="majorEastAsia" w:cstheme="majorBidi"/>
      <w:b/>
      <w:bCs/>
      <w:sz w:val="30"/>
      <w:szCs w:val="32"/>
    </w:rPr>
  </w:style>
  <w:style w:type="character" w:styleId="1999" w:customStyle="1">
    <w:name w:val="标题 3 字符"/>
    <w:basedOn w:val="1987"/>
    <w:link w:val="1986"/>
    <w:uiPriority w:val="0"/>
    <w:qFormat/>
    <w:pPr>
      <w:pBdr/>
      <w:spacing/>
      <w:ind/>
    </w:pPr>
    <w:rPr>
      <w:rFonts w:ascii="Times New Roman" w:hAnsi="Times New Roman" w:cs="Arial"/>
      <w:b/>
      <w:bCs/>
      <w:sz w:val="32"/>
      <w:szCs w:val="32"/>
    </w:rPr>
  </w:style>
  <w:style w:type="character" w:styleId="2000" w:customStyle="1">
    <w:name w:val="标题 字符"/>
    <w:basedOn w:val="1987"/>
    <w:link w:val="1993"/>
    <w:uiPriority w:val="0"/>
    <w:qFormat/>
    <w:pPr>
      <w:pBdr/>
      <w:spacing/>
      <w:ind/>
    </w:pPr>
    <w:rPr>
      <w:rFonts w:eastAsia="宋体" w:asciiTheme="majorHAnsi" w:hAnsiTheme="majorHAnsi" w:cstheme="majorBidi"/>
      <w:b/>
      <w:bCs/>
      <w:sz w:val="32"/>
      <w:szCs w:val="32"/>
    </w:rPr>
  </w:style>
  <w:style w:type="character" w:styleId="2001" w:customStyle="1">
    <w:name w:val="页脚 字符"/>
    <w:basedOn w:val="1987"/>
    <w:link w:val="1990"/>
    <w:uiPriority w:val="99"/>
    <w:qFormat/>
    <w:pPr>
      <w:pBdr/>
      <w:spacing/>
      <w:ind/>
    </w:pPr>
    <w:rPr>
      <w:rFonts w:ascii="Times New Roman" w:hAnsi="Times New Roman"/>
      <w:sz w:val="18"/>
      <w:szCs w:val="18"/>
    </w:rPr>
  </w:style>
  <w:style w:type="character" w:styleId="2002" w:customStyle="1">
    <w:name w:val="页眉 字符"/>
    <w:basedOn w:val="1987"/>
    <w:link w:val="1991"/>
    <w:uiPriority w:val="99"/>
    <w:qFormat/>
    <w:pPr>
      <w:pBdr/>
      <w:spacing/>
      <w:ind/>
    </w:pPr>
    <w:rPr>
      <w:rFonts w:ascii="Times New Roman" w:hAnsi="Times New Roman"/>
      <w:sz w:val="18"/>
      <w:szCs w:val="18"/>
    </w:rPr>
  </w:style>
  <w:style w:type="character" w:styleId="2003" w:customStyle="1">
    <w:name w:val="批注框文本 字符"/>
    <w:basedOn w:val="1987"/>
    <w:link w:val="1989"/>
    <w:uiPriority w:val="0"/>
    <w:qFormat/>
    <w:pPr>
      <w:pBdr/>
      <w:spacing/>
      <w:ind/>
    </w:pPr>
    <w:rPr>
      <w:rFonts w:ascii="Times New Roman" w:hAnsi="Times New Roman" w:cs="Arial"/>
      <w:sz w:val="18"/>
      <w:szCs w:val="18"/>
    </w:rPr>
  </w:style>
  <w:style w:type="paragraph" w:styleId="2004" w:customStyle="1">
    <w:name w:val="Table Paragraph"/>
    <w:basedOn w:val="1983"/>
    <w:uiPriority w:val="1"/>
    <w:qFormat/>
    <w:pPr>
      <w:pBdr/>
      <w:spacing w:after="0" w:before="0" w:line="240" w:lineRule="auto"/>
      <w:ind/>
    </w:pPr>
    <w:rPr>
      <w:rFonts w:cs="Times New Roman"/>
      <w:sz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customXml" Target="../customXml/item1.xml" /><Relationship Id="rId20" Type="http://schemas.openxmlformats.org/officeDocument/2006/relationships/customXml" Target="../customXml/item2.xml" /><Relationship Id="rId21" Type="http://schemas.openxmlformats.org/officeDocument/2006/relationships/image" Target="media/image1.png"/><Relationship Id="rId22" Type="http://schemas.openxmlformats.org/officeDocument/2006/relationships/image" Target="media/image2.png"/><Relationship Id="rId23" Type="http://schemas.openxmlformats.org/officeDocument/2006/relationships/image" Target="media/image3.jpg"/><Relationship Id="rId24" Type="http://schemas.openxmlformats.org/officeDocument/2006/relationships/image" Target="media/image4.jpg"/><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jpg"/><Relationship Id="rId30" Type="http://schemas.openxmlformats.org/officeDocument/2006/relationships/image" Target="media/image10.png"/><Relationship Id="rId31" Type="http://schemas.openxmlformats.org/officeDocument/2006/relationships/image" Target="media/image11.png"/><Relationship Id="rId32" Type="http://schemas.openxmlformats.org/officeDocument/2006/relationships/image" Target="media/image12.png"/><Relationship Id="rId33" Type="http://schemas.openxmlformats.org/officeDocument/2006/relationships/image" Target="media/image13.png"/><Relationship Id="rId34" Type="http://schemas.openxmlformats.org/officeDocument/2006/relationships/image" Target="media/image14.png"/><Relationship Id="rId35" Type="http://schemas.openxmlformats.org/officeDocument/2006/relationships/image" Target="media/image15.jpg"/><Relationship Id="rId36" Type="http://schemas.openxmlformats.org/officeDocument/2006/relationships/image" Target="media/image16.jpg"/><Relationship Id="rId37"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A2C0C7B-DFF8-4CEE-A74D-EC291B459898}"/>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onlyoffice/8.3.3.18</Application>
  <DocSecurity>0</DocSecurity>
  <ScaleCrop>0</ScaleCrop>
  <HeadingPairs>
    <vt:vector size="0" baseType="variant"/>
  </HeadingPairs>
  <TitlesOfParts>
    <vt:vector size="0" baseType="lpstr"/>
  </TitlesOfParts>
  <Company>Sinopec</Company>
  <LinksUpToDate>0</LinksUpToD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HSW</dc:creator>
  <cp:lastModifiedBy>Dong</cp:lastModifiedBy>
  <cp:revision>4</cp:revision>
  <dcterms:created xsi:type="dcterms:W3CDTF">2025-10-21T10:57:00Z</dcterms:created>
  <dcterms:modified xsi:type="dcterms:W3CDTF">2026-08-04T12:23:34Z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F0C7C4323C7843F78F1651C70D0328F1_13</vt:lpwstr>
  </property>
</Properties>
</file>